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ADAB" w14:textId="498B2CB5" w:rsidR="00B86C8D" w:rsidRPr="006C2AF9" w:rsidRDefault="00B86C8D" w:rsidP="006C2AF9">
      <w:pPr>
        <w:rPr>
          <w:sz w:val="2"/>
          <w:szCs w:val="2"/>
        </w:rPr>
      </w:pPr>
    </w:p>
    <w:p w14:paraId="19069A52" w14:textId="47A84B1A" w:rsidR="00B86C8D" w:rsidRPr="00747555" w:rsidRDefault="00B86C8D" w:rsidP="00167032">
      <w:pPr>
        <w:ind w:hanging="1440"/>
      </w:pPr>
    </w:p>
    <w:p w14:paraId="59E53A10" w14:textId="1E55ECFA" w:rsidR="00B86C8D" w:rsidRPr="00747555" w:rsidRDefault="00403618" w:rsidP="00B86C8D">
      <w:pPr>
        <w:ind w:hanging="720"/>
      </w:pPr>
      <w:r w:rsidRPr="00747555">
        <w:rPr>
          <w:noProof/>
        </w:rPr>
        <mc:AlternateContent>
          <mc:Choice Requires="wps">
            <w:drawing>
              <wp:anchor distT="0" distB="0" distL="114300" distR="114300" simplePos="0" relativeHeight="251659264" behindDoc="0" locked="0" layoutInCell="1" allowOverlap="1" wp14:anchorId="03E0BA07" wp14:editId="2D99C2E9">
                <wp:simplePos x="0" y="0"/>
                <wp:positionH relativeFrom="column">
                  <wp:posOffset>253365</wp:posOffset>
                </wp:positionH>
                <wp:positionV relativeFrom="paragraph">
                  <wp:posOffset>161290</wp:posOffset>
                </wp:positionV>
                <wp:extent cx="6029325" cy="1019175"/>
                <wp:effectExtent l="0" t="0" r="0" b="0"/>
                <wp:wrapNone/>
                <wp:docPr id="8" name="Text Box 8"/>
                <wp:cNvGraphicFramePr/>
                <a:graphic xmlns:a="http://schemas.openxmlformats.org/drawingml/2006/main">
                  <a:graphicData uri="http://schemas.microsoft.com/office/word/2010/wordprocessingShape">
                    <wps:wsp>
                      <wps:cNvSpPr txBox="1"/>
                      <wps:spPr>
                        <a:xfrm>
                          <a:off x="0" y="0"/>
                          <a:ext cx="6029325" cy="1019175"/>
                        </a:xfrm>
                        <a:prstGeom prst="rect">
                          <a:avLst/>
                        </a:prstGeom>
                        <a:noFill/>
                        <a:ln w="6350">
                          <a:noFill/>
                        </a:ln>
                      </wps:spPr>
                      <wps:txbx>
                        <w:txbxContent>
                          <w:p w14:paraId="18768022" w14:textId="464BB3FB" w:rsidR="0068195A" w:rsidRPr="00403618" w:rsidRDefault="00E362C9" w:rsidP="006C2AF9">
                            <w:pPr>
                              <w:jc w:val="both"/>
                              <w:rPr>
                                <w:rFonts w:ascii="Century Gothic" w:hAnsi="Century Gothic"/>
                                <w:color w:val="09417A"/>
                                <w:sz w:val="36"/>
                                <w:szCs w:val="36"/>
                              </w:rPr>
                            </w:pPr>
                            <w:proofErr w:type="spellStart"/>
                            <w:r w:rsidRPr="00403618">
                              <w:rPr>
                                <w:rFonts w:ascii="Century Gothic" w:hAnsi="Century Gothic"/>
                                <w:color w:val="09417A"/>
                                <w:sz w:val="36"/>
                                <w:szCs w:val="36"/>
                                <w:lang w:val="en-US"/>
                              </w:rPr>
                              <w:t>Sobre</w:t>
                            </w:r>
                            <w:proofErr w:type="spellEnd"/>
                            <w:r w:rsidRPr="00403618">
                              <w:rPr>
                                <w:rFonts w:ascii="Century Gothic" w:hAnsi="Century Gothic"/>
                                <w:color w:val="09417A"/>
                                <w:sz w:val="36"/>
                                <w:szCs w:val="36"/>
                                <w:lang w:val="en-US"/>
                              </w:rPr>
                              <w:t xml:space="preserve"> </w:t>
                            </w:r>
                            <w:proofErr w:type="spellStart"/>
                            <w:r w:rsidRPr="00403618">
                              <w:rPr>
                                <w:rFonts w:ascii="Century Gothic" w:hAnsi="Century Gothic"/>
                                <w:color w:val="09417A"/>
                                <w:sz w:val="36"/>
                                <w:szCs w:val="36"/>
                                <w:lang w:val="en-US"/>
                              </w:rPr>
                              <w:t>el</w:t>
                            </w:r>
                            <w:proofErr w:type="spellEnd"/>
                            <w:r w:rsidRPr="00403618">
                              <w:rPr>
                                <w:rFonts w:ascii="Century Gothic" w:hAnsi="Century Gothic"/>
                                <w:color w:val="09417A"/>
                                <w:sz w:val="36"/>
                                <w:szCs w:val="36"/>
                                <w:lang w:val="en-US"/>
                              </w:rPr>
                              <w:t xml:space="preserve"> </w:t>
                            </w:r>
                            <w:proofErr w:type="spellStart"/>
                            <w:r w:rsidRPr="00403618">
                              <w:rPr>
                                <w:rFonts w:ascii="Century Gothic" w:hAnsi="Century Gothic"/>
                                <w:color w:val="09417A"/>
                                <w:sz w:val="36"/>
                                <w:szCs w:val="36"/>
                                <w:lang w:val="en-US"/>
                              </w:rPr>
                              <w:t>incremento</w:t>
                            </w:r>
                            <w:proofErr w:type="spellEnd"/>
                            <w:r w:rsidR="00DE11DB" w:rsidRPr="00403618">
                              <w:rPr>
                                <w:rFonts w:ascii="Century Gothic" w:hAnsi="Century Gothic"/>
                                <w:color w:val="09417A"/>
                                <w:sz w:val="36"/>
                                <w:szCs w:val="36"/>
                                <w:lang w:val="en-US"/>
                              </w:rPr>
                              <w:t xml:space="preserve"> </w:t>
                            </w:r>
                            <w:proofErr w:type="spellStart"/>
                            <w:r w:rsidR="00DE11DB" w:rsidRPr="00403618">
                              <w:rPr>
                                <w:rFonts w:ascii="Century Gothic" w:hAnsi="Century Gothic"/>
                                <w:color w:val="09417A"/>
                                <w:sz w:val="36"/>
                                <w:szCs w:val="36"/>
                                <w:lang w:val="en-US"/>
                              </w:rPr>
                              <w:t>por</w:t>
                            </w:r>
                            <w:proofErr w:type="spellEnd"/>
                            <w:r w:rsidR="00DE11DB" w:rsidRPr="00403618">
                              <w:rPr>
                                <w:rFonts w:ascii="Century Gothic" w:hAnsi="Century Gothic"/>
                                <w:color w:val="09417A"/>
                                <w:sz w:val="36"/>
                                <w:szCs w:val="36"/>
                                <w:lang w:val="en-US"/>
                              </w:rPr>
                              <w:t xml:space="preserve"> </w:t>
                            </w:r>
                            <w:proofErr w:type="spellStart"/>
                            <w:r w:rsidR="005976FD" w:rsidRPr="00403618">
                              <w:rPr>
                                <w:rFonts w:ascii="Century Gothic" w:hAnsi="Century Gothic"/>
                                <w:color w:val="09417A"/>
                                <w:sz w:val="36"/>
                                <w:szCs w:val="36"/>
                                <w:lang w:val="en-US"/>
                              </w:rPr>
                              <w:t>costo</w:t>
                            </w:r>
                            <w:proofErr w:type="spellEnd"/>
                            <w:r w:rsidR="005976FD" w:rsidRPr="00403618">
                              <w:rPr>
                                <w:rFonts w:ascii="Century Gothic" w:hAnsi="Century Gothic"/>
                                <w:color w:val="09417A"/>
                                <w:sz w:val="36"/>
                                <w:szCs w:val="36"/>
                                <w:lang w:val="en-US"/>
                              </w:rPr>
                              <w:t xml:space="preserve"> de </w:t>
                            </w:r>
                            <w:proofErr w:type="spellStart"/>
                            <w:r w:rsidR="005976FD" w:rsidRPr="00403618">
                              <w:rPr>
                                <w:rFonts w:ascii="Century Gothic" w:hAnsi="Century Gothic"/>
                                <w:color w:val="09417A"/>
                                <w:sz w:val="36"/>
                                <w:szCs w:val="36"/>
                                <w:lang w:val="en-US"/>
                              </w:rPr>
                              <w:t>vida</w:t>
                            </w:r>
                            <w:proofErr w:type="spellEnd"/>
                            <w:r w:rsidR="005976FD" w:rsidRPr="00403618">
                              <w:rPr>
                                <w:rFonts w:ascii="Century Gothic" w:hAnsi="Century Gothic"/>
                                <w:color w:val="09417A"/>
                                <w:sz w:val="36"/>
                                <w:szCs w:val="36"/>
                                <w:lang w:val="en-US"/>
                              </w:rPr>
                              <w:t xml:space="preserve"> a </w:t>
                            </w:r>
                            <w:proofErr w:type="spellStart"/>
                            <w:r w:rsidR="005976FD" w:rsidRPr="00403618">
                              <w:rPr>
                                <w:rFonts w:ascii="Century Gothic" w:hAnsi="Century Gothic"/>
                                <w:color w:val="09417A"/>
                                <w:sz w:val="36"/>
                                <w:szCs w:val="36"/>
                                <w:lang w:val="en-US"/>
                              </w:rPr>
                              <w:t>los</w:t>
                            </w:r>
                            <w:proofErr w:type="spellEnd"/>
                            <w:r w:rsidR="005976FD" w:rsidRPr="00403618">
                              <w:rPr>
                                <w:rFonts w:ascii="Century Gothic" w:hAnsi="Century Gothic"/>
                                <w:color w:val="09417A"/>
                                <w:sz w:val="36"/>
                                <w:szCs w:val="36"/>
                                <w:lang w:val="en-US"/>
                              </w:rPr>
                              <w:t xml:space="preserve"> </w:t>
                            </w:r>
                            <w:proofErr w:type="spellStart"/>
                            <w:r w:rsidR="00FB4BF2" w:rsidRPr="00403618">
                              <w:rPr>
                                <w:rFonts w:ascii="Century Gothic" w:hAnsi="Century Gothic"/>
                                <w:color w:val="09417A"/>
                                <w:sz w:val="36"/>
                                <w:szCs w:val="36"/>
                                <w:lang w:val="en-US"/>
                              </w:rPr>
                              <w:t>regímenes</w:t>
                            </w:r>
                            <w:proofErr w:type="spellEnd"/>
                            <w:r w:rsidR="00FB4BF2" w:rsidRPr="00403618">
                              <w:rPr>
                                <w:rFonts w:ascii="Century Gothic" w:hAnsi="Century Gothic"/>
                                <w:color w:val="09417A"/>
                                <w:sz w:val="36"/>
                                <w:szCs w:val="36"/>
                                <w:lang w:val="en-US"/>
                              </w:rPr>
                              <w:t xml:space="preserve"> de </w:t>
                            </w:r>
                            <w:proofErr w:type="spellStart"/>
                            <w:r w:rsidR="00FB4BF2" w:rsidRPr="00403618">
                              <w:rPr>
                                <w:rFonts w:ascii="Century Gothic" w:hAnsi="Century Gothic"/>
                                <w:color w:val="09417A"/>
                                <w:sz w:val="36"/>
                                <w:szCs w:val="36"/>
                                <w:lang w:val="en-US"/>
                              </w:rPr>
                              <w:t>pensiones</w:t>
                            </w:r>
                            <w:proofErr w:type="spellEnd"/>
                            <w:r w:rsidR="005976FD" w:rsidRPr="00403618">
                              <w:rPr>
                                <w:rFonts w:ascii="Century Gothic" w:hAnsi="Century Gothic"/>
                                <w:color w:val="09417A"/>
                                <w:sz w:val="36"/>
                                <w:szCs w:val="36"/>
                                <w:lang w:val="en-US"/>
                              </w:rPr>
                              <w:t xml:space="preserve"> de</w:t>
                            </w:r>
                            <w:r w:rsidR="008D3EDA" w:rsidRPr="00403618">
                              <w:rPr>
                                <w:rFonts w:ascii="Century Gothic" w:hAnsi="Century Gothic"/>
                                <w:color w:val="09417A"/>
                                <w:sz w:val="36"/>
                                <w:szCs w:val="36"/>
                                <w:lang w:val="en-US"/>
                              </w:rPr>
                              <w:t xml:space="preserve">l </w:t>
                            </w:r>
                            <w:proofErr w:type="spellStart"/>
                            <w:r w:rsidR="008D3EDA" w:rsidRPr="00403618">
                              <w:rPr>
                                <w:rFonts w:ascii="Century Gothic" w:hAnsi="Century Gothic"/>
                                <w:color w:val="09417A"/>
                                <w:sz w:val="36"/>
                                <w:szCs w:val="36"/>
                                <w:lang w:val="en-US"/>
                              </w:rPr>
                              <w:t>Magisterio</w:t>
                            </w:r>
                            <w:proofErr w:type="spellEnd"/>
                            <w:r w:rsidR="008D3EDA" w:rsidRPr="00403618">
                              <w:rPr>
                                <w:rFonts w:ascii="Century Gothic" w:hAnsi="Century Gothic"/>
                                <w:color w:val="09417A"/>
                                <w:sz w:val="36"/>
                                <w:szCs w:val="36"/>
                                <w:lang w:val="en-US"/>
                              </w:rPr>
                              <w:t xml:space="preserve"> Nacional</w:t>
                            </w:r>
                            <w:r w:rsidR="005976FD" w:rsidRPr="00403618">
                              <w:rPr>
                                <w:rFonts w:ascii="Century Gothic" w:hAnsi="Century Gothic"/>
                                <w:color w:val="09417A"/>
                                <w:sz w:val="36"/>
                                <w:szCs w:val="3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0BA07" id="_x0000_t202" coordsize="21600,21600" o:spt="202" path="m,l,21600r21600,l21600,xe">
                <v:stroke joinstyle="miter"/>
                <v:path gradientshapeok="t" o:connecttype="rect"/>
              </v:shapetype>
              <v:shape id="Text Box 8" o:spid="_x0000_s1026" type="#_x0000_t202" style="position:absolute;margin-left:19.95pt;margin-top:12.7pt;width:474.7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HhyGAIAAC0EAAAOAAAAZHJzL2Uyb0RvYy54bWysU8tu2zAQvBfoPxC815IcO4kFy4GbwEUB&#10;IwngFDnTFGkJoLgsSVtyv75LSn4g7anohdrlrvYxM5w/dI0iB2FdDbqg2SilRGgOZa13Bf3xtvpy&#10;T4nzTJdMgRYFPQpHHxafP81bk4sxVKBKYQkW0S5vTUEr702eJI5XomFuBEZoDEqwDfPo2l1SWtZi&#10;9UYl4zS9TVqwpbHAhXN4+9QH6SLWl1Jw/yKlE56oguJsPp42nttwJos5y3eWmarmwxjsH6ZoWK2x&#10;6bnUE/OM7G39R6mm5hYcSD/i0CQgZc1F3AG3ydIP22wqZkTcBcFx5gyT+39l+fNhY14t8d1X6JDA&#10;AEhrXO7wMuzTSduEL05KMI4QHs+wic4Tjpe36Xh2M55SwjGWpdksu5uGOsnld2Od/yagIcEoqEVe&#10;IlzssHa+Tz2lhG4aVrVSkRulSYstbqZp/OEcweJKY4/LsMHy3bYbNthCecTFLPScO8NXNTZfM+df&#10;mUWScRcUrn/BQyrAJjBYlFRgf/3tPuQj9hilpEXRFNT93DMrKFHfNbIyyyaToLLoTKZ3Y3TsdWR7&#10;HdH75hFQlxk+EcOjGfK9OpnSQvOO+l6GrhhimmPvgvqT+eh7KeP74GK5jEmoK8P8Wm8MD6UDnAHa&#10;t+6dWTPg75G6ZzjJi+UfaOhzeyKWew+yjhwFgHtUB9xRk5Hl4f0E0V/7Mevyyhe/AQAA//8DAFBL&#10;AwQUAAYACAAAACEAk3vNFuAAAAAJAQAADwAAAGRycy9kb3ducmV2LnhtbEyPwU7DMAyG70i8Q2Qk&#10;bixdoagpTaep0oSE4LCxC7e0ydpqiVOabCs8PeYEN1v/p9+fy9XsLDubKQweJSwXCTCDrdcDdhL2&#10;75u7HFiICrWyHo2ELxNgVV1flarQ/oJbc97FjlEJhkJJ6GMcC85D2xunwsKPBik7+MmpSOvUcT2p&#10;C5U7y9MkeeRODUgXejWaujftcXdyEl7qzZvaNqnLv239/HpYj5/7j0zK25t5/QQsmjn+wfCrT+pQ&#10;kVPjT6gDsxLuhSBSQpo9AKNc5IKGhsA8E8Crkv//oPoBAAD//wMAUEsBAi0AFAAGAAgAAAAhALaD&#10;OJL+AAAA4QEAABMAAAAAAAAAAAAAAAAAAAAAAFtDb250ZW50X1R5cGVzXS54bWxQSwECLQAUAAYA&#10;CAAAACEAOP0h/9YAAACUAQAACwAAAAAAAAAAAAAAAAAvAQAAX3JlbHMvLnJlbHNQSwECLQAUAAYA&#10;CAAAACEAu+B4chgCAAAtBAAADgAAAAAAAAAAAAAAAAAuAgAAZHJzL2Uyb0RvYy54bWxQSwECLQAU&#10;AAYACAAAACEAk3vNFuAAAAAJAQAADwAAAAAAAAAAAAAAAAByBAAAZHJzL2Rvd25yZXYueG1sUEsF&#10;BgAAAAAEAAQA8wAAAH8FAAAAAA==&#10;" filled="f" stroked="f" strokeweight=".5pt">
                <v:textbox>
                  <w:txbxContent>
                    <w:p w14:paraId="18768022" w14:textId="464BB3FB" w:rsidR="0068195A" w:rsidRPr="00403618" w:rsidRDefault="00E362C9" w:rsidP="006C2AF9">
                      <w:pPr>
                        <w:jc w:val="both"/>
                        <w:rPr>
                          <w:rFonts w:ascii="Century Gothic" w:hAnsi="Century Gothic"/>
                          <w:color w:val="09417A"/>
                          <w:sz w:val="36"/>
                          <w:szCs w:val="36"/>
                        </w:rPr>
                      </w:pPr>
                      <w:proofErr w:type="spellStart"/>
                      <w:r w:rsidRPr="00403618">
                        <w:rPr>
                          <w:rFonts w:ascii="Century Gothic" w:hAnsi="Century Gothic"/>
                          <w:color w:val="09417A"/>
                          <w:sz w:val="36"/>
                          <w:szCs w:val="36"/>
                          <w:lang w:val="en-US"/>
                        </w:rPr>
                        <w:t>Sobre</w:t>
                      </w:r>
                      <w:proofErr w:type="spellEnd"/>
                      <w:r w:rsidRPr="00403618">
                        <w:rPr>
                          <w:rFonts w:ascii="Century Gothic" w:hAnsi="Century Gothic"/>
                          <w:color w:val="09417A"/>
                          <w:sz w:val="36"/>
                          <w:szCs w:val="36"/>
                          <w:lang w:val="en-US"/>
                        </w:rPr>
                        <w:t xml:space="preserve"> </w:t>
                      </w:r>
                      <w:proofErr w:type="spellStart"/>
                      <w:r w:rsidRPr="00403618">
                        <w:rPr>
                          <w:rFonts w:ascii="Century Gothic" w:hAnsi="Century Gothic"/>
                          <w:color w:val="09417A"/>
                          <w:sz w:val="36"/>
                          <w:szCs w:val="36"/>
                          <w:lang w:val="en-US"/>
                        </w:rPr>
                        <w:t>el</w:t>
                      </w:r>
                      <w:proofErr w:type="spellEnd"/>
                      <w:r w:rsidRPr="00403618">
                        <w:rPr>
                          <w:rFonts w:ascii="Century Gothic" w:hAnsi="Century Gothic"/>
                          <w:color w:val="09417A"/>
                          <w:sz w:val="36"/>
                          <w:szCs w:val="36"/>
                          <w:lang w:val="en-US"/>
                        </w:rPr>
                        <w:t xml:space="preserve"> </w:t>
                      </w:r>
                      <w:proofErr w:type="spellStart"/>
                      <w:r w:rsidRPr="00403618">
                        <w:rPr>
                          <w:rFonts w:ascii="Century Gothic" w:hAnsi="Century Gothic"/>
                          <w:color w:val="09417A"/>
                          <w:sz w:val="36"/>
                          <w:szCs w:val="36"/>
                          <w:lang w:val="en-US"/>
                        </w:rPr>
                        <w:t>incremento</w:t>
                      </w:r>
                      <w:proofErr w:type="spellEnd"/>
                      <w:r w:rsidR="00DE11DB" w:rsidRPr="00403618">
                        <w:rPr>
                          <w:rFonts w:ascii="Century Gothic" w:hAnsi="Century Gothic"/>
                          <w:color w:val="09417A"/>
                          <w:sz w:val="36"/>
                          <w:szCs w:val="36"/>
                          <w:lang w:val="en-US"/>
                        </w:rPr>
                        <w:t xml:space="preserve"> </w:t>
                      </w:r>
                      <w:proofErr w:type="spellStart"/>
                      <w:r w:rsidR="00DE11DB" w:rsidRPr="00403618">
                        <w:rPr>
                          <w:rFonts w:ascii="Century Gothic" w:hAnsi="Century Gothic"/>
                          <w:color w:val="09417A"/>
                          <w:sz w:val="36"/>
                          <w:szCs w:val="36"/>
                          <w:lang w:val="en-US"/>
                        </w:rPr>
                        <w:t>por</w:t>
                      </w:r>
                      <w:proofErr w:type="spellEnd"/>
                      <w:r w:rsidR="00DE11DB" w:rsidRPr="00403618">
                        <w:rPr>
                          <w:rFonts w:ascii="Century Gothic" w:hAnsi="Century Gothic"/>
                          <w:color w:val="09417A"/>
                          <w:sz w:val="36"/>
                          <w:szCs w:val="36"/>
                          <w:lang w:val="en-US"/>
                        </w:rPr>
                        <w:t xml:space="preserve"> </w:t>
                      </w:r>
                      <w:proofErr w:type="spellStart"/>
                      <w:r w:rsidR="005976FD" w:rsidRPr="00403618">
                        <w:rPr>
                          <w:rFonts w:ascii="Century Gothic" w:hAnsi="Century Gothic"/>
                          <w:color w:val="09417A"/>
                          <w:sz w:val="36"/>
                          <w:szCs w:val="36"/>
                          <w:lang w:val="en-US"/>
                        </w:rPr>
                        <w:t>costo</w:t>
                      </w:r>
                      <w:proofErr w:type="spellEnd"/>
                      <w:r w:rsidR="005976FD" w:rsidRPr="00403618">
                        <w:rPr>
                          <w:rFonts w:ascii="Century Gothic" w:hAnsi="Century Gothic"/>
                          <w:color w:val="09417A"/>
                          <w:sz w:val="36"/>
                          <w:szCs w:val="36"/>
                          <w:lang w:val="en-US"/>
                        </w:rPr>
                        <w:t xml:space="preserve"> de </w:t>
                      </w:r>
                      <w:proofErr w:type="spellStart"/>
                      <w:r w:rsidR="005976FD" w:rsidRPr="00403618">
                        <w:rPr>
                          <w:rFonts w:ascii="Century Gothic" w:hAnsi="Century Gothic"/>
                          <w:color w:val="09417A"/>
                          <w:sz w:val="36"/>
                          <w:szCs w:val="36"/>
                          <w:lang w:val="en-US"/>
                        </w:rPr>
                        <w:t>vida</w:t>
                      </w:r>
                      <w:proofErr w:type="spellEnd"/>
                      <w:r w:rsidR="005976FD" w:rsidRPr="00403618">
                        <w:rPr>
                          <w:rFonts w:ascii="Century Gothic" w:hAnsi="Century Gothic"/>
                          <w:color w:val="09417A"/>
                          <w:sz w:val="36"/>
                          <w:szCs w:val="36"/>
                          <w:lang w:val="en-US"/>
                        </w:rPr>
                        <w:t xml:space="preserve"> a </w:t>
                      </w:r>
                      <w:proofErr w:type="spellStart"/>
                      <w:r w:rsidR="005976FD" w:rsidRPr="00403618">
                        <w:rPr>
                          <w:rFonts w:ascii="Century Gothic" w:hAnsi="Century Gothic"/>
                          <w:color w:val="09417A"/>
                          <w:sz w:val="36"/>
                          <w:szCs w:val="36"/>
                          <w:lang w:val="en-US"/>
                        </w:rPr>
                        <w:t>los</w:t>
                      </w:r>
                      <w:proofErr w:type="spellEnd"/>
                      <w:r w:rsidR="005976FD" w:rsidRPr="00403618">
                        <w:rPr>
                          <w:rFonts w:ascii="Century Gothic" w:hAnsi="Century Gothic"/>
                          <w:color w:val="09417A"/>
                          <w:sz w:val="36"/>
                          <w:szCs w:val="36"/>
                          <w:lang w:val="en-US"/>
                        </w:rPr>
                        <w:t xml:space="preserve"> </w:t>
                      </w:r>
                      <w:proofErr w:type="spellStart"/>
                      <w:r w:rsidR="00FB4BF2" w:rsidRPr="00403618">
                        <w:rPr>
                          <w:rFonts w:ascii="Century Gothic" w:hAnsi="Century Gothic"/>
                          <w:color w:val="09417A"/>
                          <w:sz w:val="36"/>
                          <w:szCs w:val="36"/>
                          <w:lang w:val="en-US"/>
                        </w:rPr>
                        <w:t>regímenes</w:t>
                      </w:r>
                      <w:proofErr w:type="spellEnd"/>
                      <w:r w:rsidR="00FB4BF2" w:rsidRPr="00403618">
                        <w:rPr>
                          <w:rFonts w:ascii="Century Gothic" w:hAnsi="Century Gothic"/>
                          <w:color w:val="09417A"/>
                          <w:sz w:val="36"/>
                          <w:szCs w:val="36"/>
                          <w:lang w:val="en-US"/>
                        </w:rPr>
                        <w:t xml:space="preserve"> de </w:t>
                      </w:r>
                      <w:proofErr w:type="spellStart"/>
                      <w:r w:rsidR="00FB4BF2" w:rsidRPr="00403618">
                        <w:rPr>
                          <w:rFonts w:ascii="Century Gothic" w:hAnsi="Century Gothic"/>
                          <w:color w:val="09417A"/>
                          <w:sz w:val="36"/>
                          <w:szCs w:val="36"/>
                          <w:lang w:val="en-US"/>
                        </w:rPr>
                        <w:t>pensiones</w:t>
                      </w:r>
                      <w:proofErr w:type="spellEnd"/>
                      <w:r w:rsidR="005976FD" w:rsidRPr="00403618">
                        <w:rPr>
                          <w:rFonts w:ascii="Century Gothic" w:hAnsi="Century Gothic"/>
                          <w:color w:val="09417A"/>
                          <w:sz w:val="36"/>
                          <w:szCs w:val="36"/>
                          <w:lang w:val="en-US"/>
                        </w:rPr>
                        <w:t xml:space="preserve"> de</w:t>
                      </w:r>
                      <w:r w:rsidR="008D3EDA" w:rsidRPr="00403618">
                        <w:rPr>
                          <w:rFonts w:ascii="Century Gothic" w:hAnsi="Century Gothic"/>
                          <w:color w:val="09417A"/>
                          <w:sz w:val="36"/>
                          <w:szCs w:val="36"/>
                          <w:lang w:val="en-US"/>
                        </w:rPr>
                        <w:t xml:space="preserve">l </w:t>
                      </w:r>
                      <w:proofErr w:type="spellStart"/>
                      <w:r w:rsidR="008D3EDA" w:rsidRPr="00403618">
                        <w:rPr>
                          <w:rFonts w:ascii="Century Gothic" w:hAnsi="Century Gothic"/>
                          <w:color w:val="09417A"/>
                          <w:sz w:val="36"/>
                          <w:szCs w:val="36"/>
                          <w:lang w:val="en-US"/>
                        </w:rPr>
                        <w:t>Magisterio</w:t>
                      </w:r>
                      <w:proofErr w:type="spellEnd"/>
                      <w:r w:rsidR="008D3EDA" w:rsidRPr="00403618">
                        <w:rPr>
                          <w:rFonts w:ascii="Century Gothic" w:hAnsi="Century Gothic"/>
                          <w:color w:val="09417A"/>
                          <w:sz w:val="36"/>
                          <w:szCs w:val="36"/>
                          <w:lang w:val="en-US"/>
                        </w:rPr>
                        <w:t xml:space="preserve"> Nacional</w:t>
                      </w:r>
                      <w:r w:rsidR="005976FD" w:rsidRPr="00403618">
                        <w:rPr>
                          <w:rFonts w:ascii="Century Gothic" w:hAnsi="Century Gothic"/>
                          <w:color w:val="09417A"/>
                          <w:sz w:val="36"/>
                          <w:szCs w:val="36"/>
                          <w:lang w:val="en-US"/>
                        </w:rPr>
                        <w:t>.</w:t>
                      </w:r>
                    </w:p>
                  </w:txbxContent>
                </v:textbox>
              </v:shape>
            </w:pict>
          </mc:Fallback>
        </mc:AlternateContent>
      </w:r>
      <w:r w:rsidR="00B86C8D" w:rsidRPr="00747555">
        <w:rPr>
          <w:noProof/>
        </w:rPr>
        <w:drawing>
          <wp:inline distT="0" distB="0" distL="0" distR="0" wp14:anchorId="364C82C6" wp14:editId="2531E894">
            <wp:extent cx="4572000" cy="1002030"/>
            <wp:effectExtent l="0" t="0" r="0" b="7620"/>
            <wp:docPr id="6" name="Picture 6"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ckground pattern&#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45617" cy="1040081"/>
                    </a:xfrm>
                    <a:prstGeom prst="rect">
                      <a:avLst/>
                    </a:prstGeom>
                  </pic:spPr>
                </pic:pic>
              </a:graphicData>
            </a:graphic>
          </wp:inline>
        </w:drawing>
      </w:r>
    </w:p>
    <w:p w14:paraId="673236F7" w14:textId="77777777" w:rsidR="00B86C8D" w:rsidRDefault="00B86C8D" w:rsidP="00B86C8D">
      <w:pPr>
        <w:ind w:hanging="720"/>
        <w:rPr>
          <w:rFonts w:ascii="Century Gothic" w:hAnsi="Century Gothic"/>
        </w:rPr>
      </w:pPr>
    </w:p>
    <w:p w14:paraId="3D20BF84" w14:textId="600338EF" w:rsidR="006C1EDC" w:rsidRDefault="005A39B8" w:rsidP="005A39B8">
      <w:pPr>
        <w:shd w:val="clear" w:color="auto" w:fill="FFFFFF" w:themeFill="background1"/>
        <w:spacing w:after="150" w:line="276" w:lineRule="auto"/>
        <w:jc w:val="both"/>
        <w:rPr>
          <w:rFonts w:ascii="Century Gothic" w:hAnsi="Century Gothic"/>
        </w:rPr>
      </w:pPr>
      <w:bookmarkStart w:id="0" w:name="_Toc130064230"/>
      <w:bookmarkStart w:id="1" w:name="_Toc164270018"/>
      <w:r w:rsidRPr="3AD56ACA">
        <w:rPr>
          <w:rFonts w:ascii="Century Gothic" w:hAnsi="Century Gothic"/>
        </w:rPr>
        <w:t xml:space="preserve">Estimados </w:t>
      </w:r>
      <w:r w:rsidR="00CC401C">
        <w:rPr>
          <w:rFonts w:ascii="Century Gothic" w:hAnsi="Century Gothic"/>
        </w:rPr>
        <w:t>colegiados y c</w:t>
      </w:r>
      <w:r w:rsidR="006C1EDC">
        <w:rPr>
          <w:rFonts w:ascii="Century Gothic" w:hAnsi="Century Gothic"/>
        </w:rPr>
        <w:t>olegiadas</w:t>
      </w:r>
      <w:r w:rsidR="00F86CB0">
        <w:rPr>
          <w:rFonts w:ascii="Century Gothic" w:hAnsi="Century Gothic"/>
        </w:rPr>
        <w:t>:</w:t>
      </w:r>
    </w:p>
    <w:p w14:paraId="79C486F7" w14:textId="60074A07" w:rsidR="006C1EDC" w:rsidRDefault="006C1EDC" w:rsidP="005A39B8">
      <w:pPr>
        <w:shd w:val="clear" w:color="auto" w:fill="FFFFFF" w:themeFill="background1"/>
        <w:spacing w:after="150" w:line="276" w:lineRule="auto"/>
        <w:jc w:val="both"/>
        <w:rPr>
          <w:rFonts w:ascii="Century Gothic" w:hAnsi="Century Gothic"/>
        </w:rPr>
      </w:pPr>
      <w:r>
        <w:rPr>
          <w:rFonts w:ascii="Century Gothic" w:hAnsi="Century Gothic"/>
        </w:rPr>
        <w:t>Ante algunas interrogantes que han surgido</w:t>
      </w:r>
      <w:r w:rsidR="00187B33">
        <w:rPr>
          <w:rFonts w:ascii="Century Gothic" w:hAnsi="Century Gothic"/>
        </w:rPr>
        <w:t xml:space="preserve"> con relación a los ajustes por costo de vida en l</w:t>
      </w:r>
      <w:r w:rsidR="0009403C">
        <w:rPr>
          <w:rFonts w:ascii="Century Gothic" w:hAnsi="Century Gothic"/>
        </w:rPr>
        <w:t>os colegiados pensionados</w:t>
      </w:r>
      <w:r w:rsidR="00297B76">
        <w:rPr>
          <w:rFonts w:ascii="Century Gothic" w:hAnsi="Century Gothic"/>
        </w:rPr>
        <w:t xml:space="preserve"> </w:t>
      </w:r>
      <w:r w:rsidR="00415AD0">
        <w:rPr>
          <w:rFonts w:ascii="Century Gothic" w:hAnsi="Century Gothic"/>
        </w:rPr>
        <w:t>que pertenecen a los regímenes de pensiones de</w:t>
      </w:r>
      <w:r w:rsidR="004E4359">
        <w:rPr>
          <w:rFonts w:ascii="Century Gothic" w:hAnsi="Century Gothic"/>
        </w:rPr>
        <w:t>l Magisterio Nacional</w:t>
      </w:r>
      <w:r w:rsidR="00BA1B70">
        <w:rPr>
          <w:rFonts w:ascii="Century Gothic" w:hAnsi="Century Gothic"/>
        </w:rPr>
        <w:t>,</w:t>
      </w:r>
      <w:r w:rsidR="00297B76">
        <w:rPr>
          <w:rFonts w:ascii="Century Gothic" w:hAnsi="Century Gothic"/>
        </w:rPr>
        <w:t xml:space="preserve"> es necesario realizar una </w:t>
      </w:r>
      <w:r w:rsidR="00F52976">
        <w:rPr>
          <w:rFonts w:ascii="Century Gothic" w:hAnsi="Century Gothic"/>
        </w:rPr>
        <w:t xml:space="preserve">breve </w:t>
      </w:r>
      <w:r w:rsidR="00297B76">
        <w:rPr>
          <w:rFonts w:ascii="Century Gothic" w:hAnsi="Century Gothic"/>
        </w:rPr>
        <w:t>explicación del tema</w:t>
      </w:r>
      <w:r w:rsidR="00432637">
        <w:rPr>
          <w:rFonts w:ascii="Century Gothic" w:hAnsi="Century Gothic"/>
        </w:rPr>
        <w:t>:</w:t>
      </w:r>
    </w:p>
    <w:p w14:paraId="5F185E32" w14:textId="1D491774" w:rsidR="00432637" w:rsidRDefault="00F52976" w:rsidP="005A39B8">
      <w:pPr>
        <w:shd w:val="clear" w:color="auto" w:fill="FFFFFF" w:themeFill="background1"/>
        <w:spacing w:after="150" w:line="276" w:lineRule="auto"/>
        <w:jc w:val="both"/>
        <w:rPr>
          <w:rFonts w:ascii="Century Gothic" w:hAnsi="Century Gothic"/>
        </w:rPr>
      </w:pPr>
      <w:r>
        <w:rPr>
          <w:rFonts w:ascii="Century Gothic" w:hAnsi="Century Gothic"/>
        </w:rPr>
        <w:t xml:space="preserve">Los dos regímenes de pensiones </w:t>
      </w:r>
      <w:r w:rsidR="0020107C">
        <w:rPr>
          <w:rFonts w:ascii="Century Gothic" w:hAnsi="Century Gothic"/>
        </w:rPr>
        <w:t>del</w:t>
      </w:r>
      <w:r>
        <w:rPr>
          <w:rFonts w:ascii="Century Gothic" w:hAnsi="Century Gothic"/>
        </w:rPr>
        <w:t xml:space="preserve"> Magisterio Nacional corresponden al</w:t>
      </w:r>
      <w:r w:rsidR="00217C4A">
        <w:rPr>
          <w:rFonts w:ascii="Century Gothic" w:hAnsi="Century Gothic"/>
        </w:rPr>
        <w:t xml:space="preserve"> Régimen Transitorio de Reparto</w:t>
      </w:r>
      <w:r w:rsidR="0096213A">
        <w:rPr>
          <w:rFonts w:ascii="Century Gothic" w:hAnsi="Century Gothic"/>
        </w:rPr>
        <w:t xml:space="preserve"> (RTR) </w:t>
      </w:r>
      <w:r w:rsidR="0020107C">
        <w:rPr>
          <w:rFonts w:ascii="Century Gothic" w:hAnsi="Century Gothic"/>
        </w:rPr>
        <w:t xml:space="preserve">el cual </w:t>
      </w:r>
      <w:r w:rsidR="0096213A">
        <w:rPr>
          <w:rFonts w:ascii="Century Gothic" w:hAnsi="Century Gothic"/>
        </w:rPr>
        <w:t>surg</w:t>
      </w:r>
      <w:r w:rsidR="0020107C">
        <w:rPr>
          <w:rFonts w:ascii="Century Gothic" w:hAnsi="Century Gothic"/>
        </w:rPr>
        <w:t>ió</w:t>
      </w:r>
      <w:r w:rsidR="0096213A">
        <w:rPr>
          <w:rFonts w:ascii="Century Gothic" w:hAnsi="Century Gothic"/>
        </w:rPr>
        <w:t xml:space="preserve"> </w:t>
      </w:r>
      <w:r w:rsidR="002C1FC6">
        <w:rPr>
          <w:rFonts w:ascii="Century Gothic" w:hAnsi="Century Gothic"/>
        </w:rPr>
        <w:t xml:space="preserve">con la ley 2248 </w:t>
      </w:r>
      <w:r w:rsidR="0096213A">
        <w:rPr>
          <w:rFonts w:ascii="Century Gothic" w:hAnsi="Century Gothic"/>
        </w:rPr>
        <w:t xml:space="preserve">el 05 de setiembre de 1958, y </w:t>
      </w:r>
      <w:r w:rsidR="0020107C">
        <w:rPr>
          <w:rFonts w:ascii="Century Gothic" w:hAnsi="Century Gothic"/>
        </w:rPr>
        <w:t>el Régimen de Capitalización Colectiva</w:t>
      </w:r>
      <w:r w:rsidR="0071228B">
        <w:rPr>
          <w:rFonts w:ascii="Century Gothic" w:hAnsi="Century Gothic"/>
        </w:rPr>
        <w:t xml:space="preserve"> (RCC)</w:t>
      </w:r>
      <w:r w:rsidR="002C1FC6">
        <w:rPr>
          <w:rFonts w:ascii="Century Gothic" w:hAnsi="Century Gothic"/>
        </w:rPr>
        <w:t>, que nace con la ley 7302 del 15 de julio de 1992</w:t>
      </w:r>
      <w:r w:rsidR="004C2F46">
        <w:rPr>
          <w:rFonts w:ascii="Century Gothic" w:hAnsi="Century Gothic"/>
        </w:rPr>
        <w:t>, los cuáles</w:t>
      </w:r>
      <w:r w:rsidR="004F0E19">
        <w:rPr>
          <w:rFonts w:ascii="Century Gothic" w:hAnsi="Century Gothic"/>
        </w:rPr>
        <w:t xml:space="preserve"> son administrados por la Junta de Pensiones y Jubilaciones del Magisterio Nacional (JUPEMA)</w:t>
      </w:r>
      <w:r w:rsidR="004C2F46">
        <w:rPr>
          <w:rFonts w:ascii="Century Gothic" w:hAnsi="Century Gothic"/>
        </w:rPr>
        <w:t>.</w:t>
      </w:r>
    </w:p>
    <w:p w14:paraId="1FF0AF0F" w14:textId="77777777" w:rsidR="00B7536A" w:rsidRPr="00B7536A" w:rsidRDefault="00B7536A" w:rsidP="005A39B8">
      <w:pPr>
        <w:shd w:val="clear" w:color="auto" w:fill="FFFFFF" w:themeFill="background1"/>
        <w:spacing w:after="150" w:line="276" w:lineRule="auto"/>
        <w:jc w:val="both"/>
        <w:rPr>
          <w:rFonts w:ascii="Century Gothic" w:hAnsi="Century Gothic"/>
          <w:sz w:val="8"/>
          <w:szCs w:val="8"/>
        </w:rPr>
      </w:pPr>
    </w:p>
    <w:p w14:paraId="3FE7FC98" w14:textId="64EB55D9" w:rsidR="00B7536A" w:rsidRPr="00B7536A" w:rsidRDefault="00B7536A" w:rsidP="005A39B8">
      <w:pPr>
        <w:shd w:val="clear" w:color="auto" w:fill="FFFFFF" w:themeFill="background1"/>
        <w:spacing w:after="150" w:line="276" w:lineRule="auto"/>
        <w:jc w:val="both"/>
        <w:rPr>
          <w:rFonts w:ascii="Century Gothic" w:hAnsi="Century Gothic"/>
          <w:b/>
          <w:bCs/>
        </w:rPr>
      </w:pPr>
      <w:r w:rsidRPr="00B7536A">
        <w:rPr>
          <w:rFonts w:ascii="Century Gothic" w:hAnsi="Century Gothic"/>
          <w:b/>
          <w:bCs/>
        </w:rPr>
        <w:t>Régimen Transitorio de Reparto</w:t>
      </w:r>
      <w:r>
        <w:rPr>
          <w:rFonts w:ascii="Century Gothic" w:hAnsi="Century Gothic"/>
          <w:b/>
          <w:bCs/>
        </w:rPr>
        <w:t xml:space="preserve"> (RTR)</w:t>
      </w:r>
    </w:p>
    <w:p w14:paraId="01B3F345" w14:textId="4CBA0048" w:rsidR="0071228B" w:rsidRDefault="00126E38" w:rsidP="005A39B8">
      <w:pPr>
        <w:shd w:val="clear" w:color="auto" w:fill="FFFFFF" w:themeFill="background1"/>
        <w:spacing w:after="150" w:line="276" w:lineRule="auto"/>
        <w:jc w:val="both"/>
        <w:rPr>
          <w:rFonts w:ascii="Century Gothic" w:hAnsi="Century Gothic"/>
        </w:rPr>
      </w:pPr>
      <w:r>
        <w:rPr>
          <w:rFonts w:ascii="Century Gothic" w:hAnsi="Century Gothic"/>
        </w:rPr>
        <w:t>Con respecto a</w:t>
      </w:r>
      <w:r w:rsidR="006A623F">
        <w:rPr>
          <w:rFonts w:ascii="Century Gothic" w:hAnsi="Century Gothic"/>
        </w:rPr>
        <w:t xml:space="preserve">l </w:t>
      </w:r>
      <w:r w:rsidR="0041224E">
        <w:rPr>
          <w:rFonts w:ascii="Century Gothic" w:hAnsi="Century Gothic"/>
        </w:rPr>
        <w:t>R</w:t>
      </w:r>
      <w:r w:rsidR="006A623F">
        <w:rPr>
          <w:rFonts w:ascii="Century Gothic" w:hAnsi="Century Gothic"/>
        </w:rPr>
        <w:t xml:space="preserve">égimen </w:t>
      </w:r>
      <w:r w:rsidR="0041224E">
        <w:rPr>
          <w:rFonts w:ascii="Century Gothic" w:hAnsi="Century Gothic"/>
        </w:rPr>
        <w:t>T</w:t>
      </w:r>
      <w:r w:rsidR="006A623F">
        <w:rPr>
          <w:rFonts w:ascii="Century Gothic" w:hAnsi="Century Gothic"/>
        </w:rPr>
        <w:t xml:space="preserve">ransitorio de </w:t>
      </w:r>
      <w:r w:rsidR="0041224E">
        <w:rPr>
          <w:rFonts w:ascii="Century Gothic" w:hAnsi="Century Gothic"/>
        </w:rPr>
        <w:t>R</w:t>
      </w:r>
      <w:r w:rsidR="006A623F">
        <w:rPr>
          <w:rFonts w:ascii="Century Gothic" w:hAnsi="Century Gothic"/>
        </w:rPr>
        <w:t>eparto (RTR)</w:t>
      </w:r>
      <w:r>
        <w:rPr>
          <w:rFonts w:ascii="Century Gothic" w:hAnsi="Century Gothic"/>
        </w:rPr>
        <w:t xml:space="preserve">, </w:t>
      </w:r>
      <w:r w:rsidR="00504D7E">
        <w:rPr>
          <w:rFonts w:ascii="Century Gothic" w:hAnsi="Century Gothic"/>
        </w:rPr>
        <w:t xml:space="preserve">ha experimentado </w:t>
      </w:r>
      <w:r w:rsidR="00E200D8">
        <w:rPr>
          <w:rFonts w:ascii="Century Gothic" w:hAnsi="Century Gothic"/>
        </w:rPr>
        <w:t>cambios a la norma que lo crea</w:t>
      </w:r>
      <w:r w:rsidR="0026328F">
        <w:rPr>
          <w:rFonts w:ascii="Century Gothic" w:hAnsi="Century Gothic"/>
        </w:rPr>
        <w:t xml:space="preserve">, </w:t>
      </w:r>
      <w:r w:rsidR="006A6AF8">
        <w:rPr>
          <w:rFonts w:ascii="Century Gothic" w:hAnsi="Century Gothic"/>
        </w:rPr>
        <w:t>tal es el caso de la forma que procede los aumentos por costo de vida</w:t>
      </w:r>
      <w:r w:rsidR="009D1549">
        <w:rPr>
          <w:rFonts w:ascii="Century Gothic" w:hAnsi="Century Gothic"/>
        </w:rPr>
        <w:t xml:space="preserve">. Las tres leyes que amparan a los </w:t>
      </w:r>
      <w:r w:rsidR="00432A10">
        <w:rPr>
          <w:rFonts w:ascii="Century Gothic" w:hAnsi="Century Gothic"/>
        </w:rPr>
        <w:t xml:space="preserve">pensionados de este régimen </w:t>
      </w:r>
      <w:r w:rsidR="0026328F">
        <w:rPr>
          <w:rFonts w:ascii="Century Gothic" w:hAnsi="Century Gothic"/>
        </w:rPr>
        <w:t xml:space="preserve">de pensión </w:t>
      </w:r>
      <w:r w:rsidR="00432A10">
        <w:rPr>
          <w:rFonts w:ascii="Century Gothic" w:hAnsi="Century Gothic"/>
        </w:rPr>
        <w:t xml:space="preserve">son la </w:t>
      </w:r>
      <w:r w:rsidR="0026328F">
        <w:rPr>
          <w:rFonts w:ascii="Century Gothic" w:hAnsi="Century Gothic"/>
        </w:rPr>
        <w:t xml:space="preserve">ley </w:t>
      </w:r>
      <w:r w:rsidR="00432A10">
        <w:rPr>
          <w:rFonts w:ascii="Century Gothic" w:hAnsi="Century Gothic"/>
        </w:rPr>
        <w:t xml:space="preserve">2248, </w:t>
      </w:r>
      <w:r w:rsidR="0026328F">
        <w:rPr>
          <w:rFonts w:ascii="Century Gothic" w:hAnsi="Century Gothic"/>
        </w:rPr>
        <w:t xml:space="preserve">ley </w:t>
      </w:r>
      <w:r w:rsidR="00432A10">
        <w:rPr>
          <w:rFonts w:ascii="Century Gothic" w:hAnsi="Century Gothic"/>
        </w:rPr>
        <w:t xml:space="preserve">7268 y </w:t>
      </w:r>
      <w:r w:rsidR="0026328F">
        <w:rPr>
          <w:rFonts w:ascii="Century Gothic" w:hAnsi="Century Gothic"/>
        </w:rPr>
        <w:t xml:space="preserve">ley </w:t>
      </w:r>
      <w:r w:rsidR="00432A10">
        <w:rPr>
          <w:rFonts w:ascii="Century Gothic" w:hAnsi="Century Gothic"/>
        </w:rPr>
        <w:t>7531</w:t>
      </w:r>
      <w:r w:rsidR="00206AFF">
        <w:rPr>
          <w:rFonts w:ascii="Century Gothic" w:hAnsi="Century Gothic"/>
        </w:rPr>
        <w:t xml:space="preserve">, </w:t>
      </w:r>
      <w:r w:rsidR="00F73A13">
        <w:rPr>
          <w:rFonts w:ascii="Century Gothic" w:hAnsi="Century Gothic"/>
        </w:rPr>
        <w:t xml:space="preserve">y cada una establece métodos distintos en su forma de operar los mecanismos de </w:t>
      </w:r>
      <w:r w:rsidR="00DF3C7E">
        <w:rPr>
          <w:rFonts w:ascii="Century Gothic" w:hAnsi="Century Gothic"/>
        </w:rPr>
        <w:t>revalorización de las pensiones, a saber:</w:t>
      </w:r>
    </w:p>
    <w:p w14:paraId="04272671" w14:textId="6D38A7DF" w:rsidR="00B70B30" w:rsidRPr="00B70B30" w:rsidRDefault="009F2A53" w:rsidP="00B70B30">
      <w:pPr>
        <w:shd w:val="clear" w:color="auto" w:fill="FFFFFF" w:themeFill="background1"/>
        <w:spacing w:after="150" w:line="276" w:lineRule="auto"/>
        <w:jc w:val="both"/>
        <w:rPr>
          <w:rFonts w:ascii="Century Gothic" w:hAnsi="Century Gothic"/>
        </w:rPr>
      </w:pPr>
      <w:r>
        <w:rPr>
          <w:rFonts w:ascii="Century Gothic" w:hAnsi="Century Gothic"/>
        </w:rPr>
        <w:t xml:space="preserve">1) </w:t>
      </w:r>
      <w:r w:rsidR="00183528">
        <w:rPr>
          <w:rFonts w:ascii="Century Gothic" w:hAnsi="Century Gothic"/>
        </w:rPr>
        <w:t xml:space="preserve"> </w:t>
      </w:r>
      <w:r w:rsidR="00B70B30" w:rsidRPr="00B70B30">
        <w:rPr>
          <w:rFonts w:ascii="Century Gothic" w:hAnsi="Century Gothic"/>
        </w:rPr>
        <w:t xml:space="preserve">En cuanto a la Ley 2248, el artículo 29 es el que estipula la metodología de revaloración de la pensión, </w:t>
      </w:r>
      <w:r w:rsidR="009B21FF">
        <w:rPr>
          <w:rFonts w:ascii="Century Gothic" w:hAnsi="Century Gothic"/>
        </w:rPr>
        <w:t>el cuál señala</w:t>
      </w:r>
      <w:r w:rsidR="00B70B30" w:rsidRPr="00B70B30">
        <w:rPr>
          <w:rFonts w:ascii="Century Gothic" w:hAnsi="Century Gothic"/>
        </w:rPr>
        <w:t xml:space="preserve">: </w:t>
      </w:r>
    </w:p>
    <w:p w14:paraId="6CFA6EE0" w14:textId="3F29F6A1" w:rsidR="00B70B30" w:rsidRDefault="00B70B30" w:rsidP="00137FE6">
      <w:pPr>
        <w:shd w:val="clear" w:color="auto" w:fill="FFFFFF" w:themeFill="background1"/>
        <w:spacing w:after="150" w:line="276" w:lineRule="auto"/>
        <w:jc w:val="both"/>
        <w:rPr>
          <w:rFonts w:ascii="Century Gothic" w:hAnsi="Century Gothic"/>
        </w:rPr>
      </w:pPr>
      <w:r w:rsidRPr="00B70B30">
        <w:rPr>
          <w:rFonts w:ascii="Century Gothic" w:hAnsi="Century Gothic"/>
        </w:rPr>
        <w:t>“</w:t>
      </w:r>
      <w:r w:rsidRPr="00F60465">
        <w:rPr>
          <w:rFonts w:ascii="Century Gothic" w:hAnsi="Century Gothic"/>
          <w:b/>
          <w:bCs/>
          <w:i/>
          <w:iCs/>
        </w:rPr>
        <w:t>Artículo 29.-</w:t>
      </w:r>
      <w:r w:rsidRPr="00F60465">
        <w:rPr>
          <w:rFonts w:ascii="Century Gothic" w:hAnsi="Century Gothic"/>
          <w:i/>
          <w:iCs/>
        </w:rPr>
        <w:t xml:space="preserve"> Cuando se hiciere una revalorización de puestos</w:t>
      </w:r>
      <w:r w:rsidR="00137FE6" w:rsidRPr="00F60465">
        <w:rPr>
          <w:rFonts w:ascii="Century Gothic" w:hAnsi="Century Gothic"/>
          <w:i/>
          <w:iCs/>
        </w:rPr>
        <w:t xml:space="preserve"> </w:t>
      </w:r>
      <w:r w:rsidRPr="00F60465">
        <w:rPr>
          <w:rFonts w:ascii="Century Gothic" w:hAnsi="Century Gothic"/>
          <w:i/>
          <w:iCs/>
        </w:rPr>
        <w:t>protegidos por el de Servicio Civil, motivada por el aumento en el costo de la vida, o se acordaren aumentos de sueldo por las mismas razones, en las demás instituciones docentes cuyos servidores cubre esta ley, la Junta de Pensiones y Jubilaciones del Magisterio Nacional, deberá mejorar los derechos jubilatorios, en la misma cantidad en que se incrementaren los sueldos de los referidos servidores activos del sistema. Si se acordare el reajuste o los aumentos citados en los párrafos anteriores, para pagarlos, se destinará la aportación referida en el Artículo 17 de esta ley.</w:t>
      </w:r>
      <w:r w:rsidRPr="00B70B30">
        <w:rPr>
          <w:rFonts w:ascii="Century Gothic" w:hAnsi="Century Gothic"/>
        </w:rPr>
        <w:t>”.</w:t>
      </w:r>
    </w:p>
    <w:p w14:paraId="4D487B59" w14:textId="01448858" w:rsidR="00985DC5" w:rsidRDefault="00985DC5" w:rsidP="00137FE6">
      <w:pPr>
        <w:shd w:val="clear" w:color="auto" w:fill="FFFFFF" w:themeFill="background1"/>
        <w:spacing w:after="150" w:line="276" w:lineRule="auto"/>
        <w:jc w:val="both"/>
        <w:rPr>
          <w:rFonts w:ascii="Century Gothic" w:hAnsi="Century Gothic"/>
        </w:rPr>
      </w:pPr>
      <w:r>
        <w:rPr>
          <w:rFonts w:ascii="Century Gothic" w:hAnsi="Century Gothic"/>
        </w:rPr>
        <w:lastRenderedPageBreak/>
        <w:t>Este artículo 29, como se observa establece que los aumentos por costo de la vida</w:t>
      </w:r>
      <w:r w:rsidR="008A174A">
        <w:rPr>
          <w:rFonts w:ascii="Century Gothic" w:hAnsi="Century Gothic"/>
        </w:rPr>
        <w:t xml:space="preserve"> están supeditados a los incrementos</w:t>
      </w:r>
      <w:r w:rsidR="00E51EB2">
        <w:rPr>
          <w:rFonts w:ascii="Century Gothic" w:hAnsi="Century Gothic"/>
        </w:rPr>
        <w:t xml:space="preserve"> que </w:t>
      </w:r>
      <w:r w:rsidR="00730695">
        <w:rPr>
          <w:rFonts w:ascii="Century Gothic" w:hAnsi="Century Gothic"/>
        </w:rPr>
        <w:t>recib</w:t>
      </w:r>
      <w:r w:rsidR="007251B5">
        <w:rPr>
          <w:rFonts w:ascii="Century Gothic" w:hAnsi="Century Gothic"/>
        </w:rPr>
        <w:t>en los trabajadores activos, procedimiento que ha sido aplicado históricamente</w:t>
      </w:r>
      <w:r w:rsidR="00FD496D">
        <w:rPr>
          <w:rFonts w:ascii="Century Gothic" w:hAnsi="Century Gothic"/>
        </w:rPr>
        <w:t xml:space="preserve"> y que se fortaleció con la interpretación jurídica que brindó la Procuraduría General de la República</w:t>
      </w:r>
      <w:r w:rsidR="007A7174">
        <w:rPr>
          <w:rFonts w:ascii="Century Gothic" w:hAnsi="Century Gothic"/>
        </w:rPr>
        <w:t xml:space="preserve"> sobre la aplicación de los componentes salariales que dieron origen a la pensión.</w:t>
      </w:r>
    </w:p>
    <w:p w14:paraId="5E7C7F8F" w14:textId="35A9B226" w:rsidR="00B70B30" w:rsidRDefault="0040282A" w:rsidP="00B70B30">
      <w:pPr>
        <w:shd w:val="clear" w:color="auto" w:fill="FFFFFF" w:themeFill="background1"/>
        <w:spacing w:after="150" w:line="276" w:lineRule="auto"/>
        <w:jc w:val="both"/>
        <w:rPr>
          <w:rFonts w:ascii="Century Gothic" w:hAnsi="Century Gothic"/>
        </w:rPr>
      </w:pPr>
      <w:r>
        <w:rPr>
          <w:rFonts w:ascii="Century Gothic" w:hAnsi="Century Gothic"/>
        </w:rPr>
        <w:t xml:space="preserve">Por ello, </w:t>
      </w:r>
      <w:r w:rsidR="00B70B30" w:rsidRPr="00B70B30">
        <w:rPr>
          <w:rFonts w:ascii="Century Gothic" w:hAnsi="Century Gothic"/>
        </w:rPr>
        <w:t>los pensionados y jubilados por la Ley 2248 pertenecientes al Ministerio de Educación Pública reciben los aumentos por costo de vida que decrete el Poder Ejecutivo</w:t>
      </w:r>
      <w:r w:rsidR="00257CD7">
        <w:rPr>
          <w:rFonts w:ascii="Century Gothic" w:hAnsi="Century Gothic"/>
        </w:rPr>
        <w:t>,</w:t>
      </w:r>
      <w:r w:rsidR="00B70B30" w:rsidRPr="00B70B30">
        <w:rPr>
          <w:rFonts w:ascii="Century Gothic" w:hAnsi="Century Gothic"/>
        </w:rPr>
        <w:t xml:space="preserve"> asimismo, los aumentos que acuerden las instituciones de educación superior serán los que se apliquen a las personas pensionadas por la respetiva instituci</w:t>
      </w:r>
      <w:r w:rsidR="0089592A">
        <w:rPr>
          <w:rFonts w:ascii="Century Gothic" w:hAnsi="Century Gothic"/>
        </w:rPr>
        <w:t xml:space="preserve">ón: </w:t>
      </w:r>
      <w:r w:rsidR="00B70B30" w:rsidRPr="00B70B30">
        <w:rPr>
          <w:rFonts w:ascii="Century Gothic" w:hAnsi="Century Gothic"/>
        </w:rPr>
        <w:t>UCR, TEC, UNA, UNED y UTN.</w:t>
      </w:r>
    </w:p>
    <w:p w14:paraId="69367846" w14:textId="2B993CA1" w:rsidR="00B70B30" w:rsidRPr="00B70B30" w:rsidRDefault="00683536" w:rsidP="00B70B30">
      <w:pPr>
        <w:shd w:val="clear" w:color="auto" w:fill="FFFFFF" w:themeFill="background1"/>
        <w:spacing w:after="150" w:line="276" w:lineRule="auto"/>
        <w:jc w:val="both"/>
        <w:rPr>
          <w:rFonts w:ascii="Century Gothic" w:hAnsi="Century Gothic"/>
        </w:rPr>
      </w:pPr>
      <w:r>
        <w:rPr>
          <w:rFonts w:ascii="Century Gothic" w:hAnsi="Century Gothic"/>
        </w:rPr>
        <w:t xml:space="preserve">2)  </w:t>
      </w:r>
      <w:r w:rsidR="00B70B30" w:rsidRPr="00B70B30">
        <w:rPr>
          <w:rFonts w:ascii="Century Gothic" w:hAnsi="Century Gothic"/>
        </w:rPr>
        <w:t xml:space="preserve">Por su parte, la Ley 7268 reformó la anterior norma, quedando el artículo 10 de la siguiente manera: </w:t>
      </w:r>
    </w:p>
    <w:p w14:paraId="69B101C6" w14:textId="30B7BBD7" w:rsidR="00B70B30" w:rsidRPr="0095110E" w:rsidRDefault="00B70B30" w:rsidP="00B70B30">
      <w:pPr>
        <w:shd w:val="clear" w:color="auto" w:fill="FFFFFF" w:themeFill="background1"/>
        <w:spacing w:after="150" w:line="276" w:lineRule="auto"/>
        <w:jc w:val="both"/>
        <w:rPr>
          <w:rFonts w:ascii="Century Gothic" w:hAnsi="Century Gothic"/>
          <w:i/>
          <w:iCs/>
        </w:rPr>
      </w:pPr>
      <w:r w:rsidRPr="0095110E">
        <w:rPr>
          <w:rFonts w:ascii="Century Gothic" w:hAnsi="Century Gothic"/>
          <w:i/>
          <w:iCs/>
        </w:rPr>
        <w:t>“</w:t>
      </w:r>
      <w:r w:rsidRPr="0095110E">
        <w:rPr>
          <w:rFonts w:ascii="Century Gothic" w:hAnsi="Century Gothic"/>
          <w:b/>
          <w:bCs/>
          <w:i/>
          <w:iCs/>
        </w:rPr>
        <w:t>Artículo 10.</w:t>
      </w:r>
      <w:r w:rsidRPr="0095110E">
        <w:rPr>
          <w:rFonts w:ascii="Century Gothic" w:hAnsi="Century Gothic"/>
          <w:i/>
          <w:iCs/>
        </w:rPr>
        <w:t xml:space="preserve"> Al realizarse una revaloración de los puestos protegidos por el Servicio Civil, como consecuencia del aumento en el costo de la vida, la Junta de Pensiones y Jubilaciones del Magisterio Nacional deberá homologar los derechos jubilatorios en el mismo monto y en la misma forma en que se incrementan los sueldos de los referidos servidores activos del Ministerio de Educación Pública. </w:t>
      </w:r>
    </w:p>
    <w:p w14:paraId="469DFBCB" w14:textId="77777777" w:rsidR="00B70B30" w:rsidRPr="0095110E" w:rsidRDefault="00B70B30" w:rsidP="00B70B30">
      <w:pPr>
        <w:shd w:val="clear" w:color="auto" w:fill="FFFFFF" w:themeFill="background1"/>
        <w:spacing w:after="150" w:line="276" w:lineRule="auto"/>
        <w:jc w:val="both"/>
        <w:rPr>
          <w:rFonts w:ascii="Century Gothic" w:hAnsi="Century Gothic"/>
          <w:i/>
          <w:iCs/>
        </w:rPr>
      </w:pPr>
      <w:r w:rsidRPr="0095110E">
        <w:rPr>
          <w:rFonts w:ascii="Century Gothic" w:hAnsi="Century Gothic"/>
          <w:i/>
          <w:iCs/>
        </w:rPr>
        <w:t xml:space="preserve">Sin excepción alguna, los pensionados y jubilados de las instituciones públicas y privadas reconocidas oficialmente recibirán, únicamente, los aumentos decretados por costo de vida para los servidores protegidos por el Servicio Civil. </w:t>
      </w:r>
    </w:p>
    <w:p w14:paraId="35D1860B" w14:textId="77777777" w:rsidR="00B70B30" w:rsidRPr="0095110E" w:rsidRDefault="00B70B30" w:rsidP="00B70B30">
      <w:pPr>
        <w:shd w:val="clear" w:color="auto" w:fill="FFFFFF" w:themeFill="background1"/>
        <w:spacing w:after="150" w:line="276" w:lineRule="auto"/>
        <w:jc w:val="both"/>
        <w:rPr>
          <w:rFonts w:ascii="Century Gothic" w:hAnsi="Century Gothic"/>
          <w:i/>
          <w:iCs/>
        </w:rPr>
      </w:pPr>
      <w:r w:rsidRPr="0095110E">
        <w:rPr>
          <w:rFonts w:ascii="Century Gothic" w:hAnsi="Century Gothic"/>
          <w:i/>
          <w:iCs/>
        </w:rPr>
        <w:t xml:space="preserve">Los derechos jubilatorios que superen el máximo determinado en el artículo 9 de esta Ley, no serán revalorados mientras mantengan esa condición. </w:t>
      </w:r>
    </w:p>
    <w:p w14:paraId="42103208" w14:textId="0DAAD5E5" w:rsidR="00B70B30" w:rsidRPr="0095110E" w:rsidRDefault="00B70B30" w:rsidP="00B70B30">
      <w:pPr>
        <w:shd w:val="clear" w:color="auto" w:fill="FFFFFF" w:themeFill="background1"/>
        <w:spacing w:after="150" w:line="276" w:lineRule="auto"/>
        <w:jc w:val="both"/>
        <w:rPr>
          <w:rFonts w:ascii="Century Gothic" w:hAnsi="Century Gothic"/>
          <w:i/>
          <w:iCs/>
        </w:rPr>
      </w:pPr>
      <w:r w:rsidRPr="0095110E">
        <w:rPr>
          <w:rFonts w:ascii="Century Gothic" w:hAnsi="Century Gothic"/>
          <w:i/>
          <w:iCs/>
        </w:rPr>
        <w:t xml:space="preserve">Para pagar el reajuste o los aumentos citados en párrafos anteriores, se destinará la aportación referida al artículo 11 de la presente </w:t>
      </w:r>
      <w:proofErr w:type="gramStart"/>
      <w:r w:rsidRPr="0095110E">
        <w:rPr>
          <w:rFonts w:ascii="Century Gothic" w:hAnsi="Century Gothic"/>
          <w:i/>
          <w:iCs/>
        </w:rPr>
        <w:t>Ley.“</w:t>
      </w:r>
      <w:proofErr w:type="gramEnd"/>
      <w:r w:rsidR="00683536" w:rsidRPr="0095110E">
        <w:rPr>
          <w:rFonts w:ascii="Century Gothic" w:hAnsi="Century Gothic"/>
          <w:i/>
          <w:iCs/>
        </w:rPr>
        <w:t xml:space="preserve"> </w:t>
      </w:r>
    </w:p>
    <w:p w14:paraId="2670B1C7" w14:textId="292F25C3" w:rsidR="00B70B30" w:rsidRDefault="00B70B30" w:rsidP="00B70B30">
      <w:pPr>
        <w:shd w:val="clear" w:color="auto" w:fill="FFFFFF" w:themeFill="background1"/>
        <w:spacing w:after="150" w:line="276" w:lineRule="auto"/>
        <w:jc w:val="both"/>
        <w:rPr>
          <w:rFonts w:ascii="Century Gothic" w:hAnsi="Century Gothic"/>
        </w:rPr>
      </w:pPr>
      <w:r w:rsidRPr="00B70B30">
        <w:rPr>
          <w:rFonts w:ascii="Century Gothic" w:hAnsi="Century Gothic"/>
        </w:rPr>
        <w:t xml:space="preserve">Este artículo 10 refleja una reforma importante por cuanto elimina la referencia de utilizar los aumentos por costo de vida que acordaren las instituciones de educación superior, por lo que para las personas pensionadas y jubiladas con la Ley 7268 les corresponde el aumento por costo de vida que decrete el Poder Ejecutivo. </w:t>
      </w:r>
    </w:p>
    <w:p w14:paraId="1257FC10" w14:textId="73872511" w:rsidR="00BA0194" w:rsidRPr="00BA0194" w:rsidRDefault="00BA0194" w:rsidP="00BA0194">
      <w:pPr>
        <w:shd w:val="clear" w:color="auto" w:fill="FFFFFF" w:themeFill="background1"/>
        <w:spacing w:after="150" w:line="276" w:lineRule="auto"/>
        <w:jc w:val="both"/>
        <w:rPr>
          <w:rFonts w:ascii="Century Gothic" w:hAnsi="Century Gothic"/>
        </w:rPr>
      </w:pPr>
      <w:r>
        <w:rPr>
          <w:rFonts w:ascii="Century Gothic" w:hAnsi="Century Gothic"/>
        </w:rPr>
        <w:t>En síntesis, e</w:t>
      </w:r>
      <w:r w:rsidRPr="00BA0194">
        <w:rPr>
          <w:rFonts w:ascii="Century Gothic" w:hAnsi="Century Gothic"/>
        </w:rPr>
        <w:t xml:space="preserve">l eventual incremento por costo de vida en los montos de dichas pensiones del RTR solo puede ocurrir cuando se registra un incremento en los </w:t>
      </w:r>
      <w:r w:rsidRPr="00BA0194">
        <w:rPr>
          <w:rFonts w:ascii="Century Gothic" w:hAnsi="Century Gothic"/>
        </w:rPr>
        <w:lastRenderedPageBreak/>
        <w:t xml:space="preserve">salarios de los trabajadores públicos, pero dichos salarios están sujetos a la Ley de Fortalecimiento de las Finanzas Públicas, Ley 9635, que en su artículo 13, inciso c) indica que cuando la deuda al cierre del ejercicio presupuestario, anterior al año de aplicación de la regla fiscal, sea igual o mayor al sesenta por ciento (60%) del PIB “no se realizarán incrementos por costo de vida en el salario base, ni en los demás incentivos salariales”. </w:t>
      </w:r>
    </w:p>
    <w:p w14:paraId="79E18CED" w14:textId="546DB206" w:rsidR="00BA0194" w:rsidRDefault="00BA0194" w:rsidP="00BA0194">
      <w:pPr>
        <w:shd w:val="clear" w:color="auto" w:fill="FFFFFF" w:themeFill="background1"/>
        <w:spacing w:after="150" w:line="276" w:lineRule="auto"/>
        <w:jc w:val="both"/>
        <w:rPr>
          <w:rFonts w:ascii="Century Gothic" w:hAnsi="Century Gothic"/>
        </w:rPr>
      </w:pPr>
      <w:r w:rsidRPr="00BA0194">
        <w:rPr>
          <w:rFonts w:ascii="Century Gothic" w:hAnsi="Century Gothic"/>
        </w:rPr>
        <w:t>Esta norma legal provoca que los trabajadores del sector público no reciban aumento por costo de vida desde inicios del 2020, motivo por el cuál las pensiones del Régimen Transitorio de Reparto otorgadas según las leyes 2248 y 7268 también estén congeladas.</w:t>
      </w:r>
    </w:p>
    <w:p w14:paraId="204FF748" w14:textId="22A5E75A" w:rsidR="0095110E" w:rsidRPr="00443DEC" w:rsidRDefault="00ED68B8" w:rsidP="00443DEC">
      <w:pPr>
        <w:shd w:val="clear" w:color="auto" w:fill="FFFFFF" w:themeFill="background1"/>
        <w:spacing w:after="150" w:line="276" w:lineRule="auto"/>
        <w:jc w:val="both"/>
        <w:rPr>
          <w:rFonts w:ascii="Century Gothic" w:hAnsi="Century Gothic"/>
        </w:rPr>
      </w:pPr>
      <w:r>
        <w:rPr>
          <w:rFonts w:ascii="Century Gothic" w:hAnsi="Century Gothic"/>
        </w:rPr>
        <w:t>3)</w:t>
      </w:r>
      <w:r w:rsidR="00EB64B3">
        <w:rPr>
          <w:rFonts w:ascii="Century Gothic" w:hAnsi="Century Gothic"/>
        </w:rPr>
        <w:t xml:space="preserve"> </w:t>
      </w:r>
      <w:r>
        <w:rPr>
          <w:rFonts w:ascii="Century Gothic" w:hAnsi="Century Gothic"/>
        </w:rPr>
        <w:t xml:space="preserve"> </w:t>
      </w:r>
      <w:r w:rsidR="00EB64B3">
        <w:rPr>
          <w:rFonts w:ascii="Century Gothic" w:hAnsi="Century Gothic"/>
        </w:rPr>
        <w:t xml:space="preserve">La ley 7531 </w:t>
      </w:r>
      <w:r w:rsidR="00443DEC" w:rsidRPr="00443DEC">
        <w:rPr>
          <w:rFonts w:ascii="Century Gothic" w:hAnsi="Century Gothic"/>
        </w:rPr>
        <w:t>y sus reformas, estableció en el artículo 79 un mecanismo de revaloración distinto, el cual hace referencia específica al índice de precios al consumidor</w:t>
      </w:r>
      <w:r w:rsidR="003110E7">
        <w:rPr>
          <w:rFonts w:ascii="Century Gothic" w:hAnsi="Century Gothic"/>
        </w:rPr>
        <w:t xml:space="preserve"> (IPC)</w:t>
      </w:r>
      <w:r w:rsidR="00443DEC" w:rsidRPr="00443DEC">
        <w:rPr>
          <w:rFonts w:ascii="Century Gothic" w:hAnsi="Century Gothic"/>
        </w:rPr>
        <w:t xml:space="preserve">, el cual indica: </w:t>
      </w:r>
    </w:p>
    <w:p w14:paraId="099C4E49" w14:textId="36CE36AF" w:rsidR="00443DEC" w:rsidRPr="0095110E" w:rsidRDefault="00443DEC" w:rsidP="00443DEC">
      <w:pPr>
        <w:shd w:val="clear" w:color="auto" w:fill="FFFFFF" w:themeFill="background1"/>
        <w:spacing w:after="150" w:line="276" w:lineRule="auto"/>
        <w:jc w:val="both"/>
        <w:rPr>
          <w:rFonts w:ascii="Century Gothic" w:hAnsi="Century Gothic"/>
          <w:i/>
          <w:iCs/>
        </w:rPr>
      </w:pPr>
      <w:r w:rsidRPr="0095110E">
        <w:rPr>
          <w:rFonts w:ascii="Century Gothic" w:hAnsi="Century Gothic"/>
          <w:i/>
          <w:iCs/>
        </w:rPr>
        <w:t>“</w:t>
      </w:r>
      <w:r w:rsidRPr="0095110E">
        <w:rPr>
          <w:rFonts w:ascii="Century Gothic" w:hAnsi="Century Gothic"/>
          <w:b/>
          <w:bCs/>
          <w:i/>
          <w:iCs/>
        </w:rPr>
        <w:t>ARTÍCULO 79.-</w:t>
      </w:r>
      <w:r w:rsidRPr="0095110E">
        <w:rPr>
          <w:rFonts w:ascii="Century Gothic" w:hAnsi="Century Gothic"/>
          <w:i/>
          <w:iCs/>
        </w:rPr>
        <w:t xml:space="preserve"> Revalorización </w:t>
      </w:r>
    </w:p>
    <w:p w14:paraId="4C73F7E6" w14:textId="77777777" w:rsidR="00443DEC" w:rsidRPr="0095110E" w:rsidRDefault="00443DEC" w:rsidP="00443DEC">
      <w:pPr>
        <w:shd w:val="clear" w:color="auto" w:fill="FFFFFF" w:themeFill="background1"/>
        <w:spacing w:after="150" w:line="276" w:lineRule="auto"/>
        <w:jc w:val="both"/>
        <w:rPr>
          <w:rFonts w:ascii="Century Gothic" w:hAnsi="Century Gothic"/>
          <w:i/>
          <w:iCs/>
        </w:rPr>
      </w:pPr>
      <w:r w:rsidRPr="0095110E">
        <w:rPr>
          <w:rFonts w:ascii="Century Gothic" w:hAnsi="Century Gothic"/>
          <w:i/>
          <w:iCs/>
        </w:rPr>
        <w:t xml:space="preserve">Las prestaciones otorgadas según lo dispuesto en este título se revalorizarán únicamente por el aumento en el costo de la vida, en un porcentaje igual al del Índice de Precios al Consumidor (IPC), de modo automático y con periodicidad semestral. </w:t>
      </w:r>
    </w:p>
    <w:p w14:paraId="0A8E9C68" w14:textId="24A4A2A9" w:rsidR="00BA0194" w:rsidRPr="00BA0194" w:rsidRDefault="00443DEC" w:rsidP="00443DEC">
      <w:pPr>
        <w:shd w:val="clear" w:color="auto" w:fill="FFFFFF" w:themeFill="background1"/>
        <w:spacing w:after="150" w:line="276" w:lineRule="auto"/>
        <w:jc w:val="both"/>
        <w:rPr>
          <w:rFonts w:ascii="Century Gothic" w:hAnsi="Century Gothic"/>
          <w:i/>
          <w:iCs/>
        </w:rPr>
      </w:pPr>
      <w:r w:rsidRPr="0095110E">
        <w:rPr>
          <w:rFonts w:ascii="Century Gothic" w:hAnsi="Century Gothic"/>
          <w:i/>
          <w:iCs/>
        </w:rPr>
        <w:t>La revalorización se producirá sobre el monto total nominal de la pensión, de conformidad con el tercer párrafo del artículo 37.</w:t>
      </w:r>
      <w:r w:rsidR="00DB6C25">
        <w:rPr>
          <w:rFonts w:ascii="Century Gothic" w:hAnsi="Century Gothic"/>
          <w:i/>
          <w:iCs/>
        </w:rPr>
        <w:t>”</w:t>
      </w:r>
    </w:p>
    <w:p w14:paraId="28E7D810" w14:textId="5B00F613" w:rsidR="00F65EBD" w:rsidRPr="0046453D" w:rsidRDefault="0046453D" w:rsidP="00443DEC">
      <w:pPr>
        <w:shd w:val="clear" w:color="auto" w:fill="FFFFFF" w:themeFill="background1"/>
        <w:spacing w:after="150" w:line="276" w:lineRule="auto"/>
        <w:jc w:val="both"/>
        <w:rPr>
          <w:rFonts w:ascii="Century Gothic" w:hAnsi="Century Gothic"/>
        </w:rPr>
      </w:pPr>
      <w:r>
        <w:rPr>
          <w:rFonts w:ascii="Century Gothic" w:hAnsi="Century Gothic"/>
        </w:rPr>
        <w:t>De conformidad con lo señalado, la jurisprudencia administrativa</w:t>
      </w:r>
      <w:r w:rsidR="009A4645">
        <w:rPr>
          <w:rFonts w:ascii="Century Gothic" w:hAnsi="Century Gothic"/>
        </w:rPr>
        <w:t xml:space="preserve"> y judicial</w:t>
      </w:r>
      <w:r w:rsidR="002F2441">
        <w:rPr>
          <w:rFonts w:ascii="Century Gothic" w:hAnsi="Century Gothic"/>
        </w:rPr>
        <w:t>, así como las diversas leyes que rigen esta materia en el Magisterio Nacional</w:t>
      </w:r>
      <w:r w:rsidR="00240ACB">
        <w:rPr>
          <w:rFonts w:ascii="Century Gothic" w:hAnsi="Century Gothic"/>
        </w:rPr>
        <w:t>, garantizan las revaloraciones de las pensiones</w:t>
      </w:r>
      <w:r w:rsidR="006D2AA9">
        <w:rPr>
          <w:rFonts w:ascii="Century Gothic" w:hAnsi="Century Gothic"/>
        </w:rPr>
        <w:t xml:space="preserve"> por aumento en el costo de la vida a través de diferentes disposiciones, conforme la </w:t>
      </w:r>
      <w:r w:rsidR="00F65EBD">
        <w:rPr>
          <w:rFonts w:ascii="Century Gothic" w:hAnsi="Century Gothic"/>
        </w:rPr>
        <w:t>l</w:t>
      </w:r>
      <w:r w:rsidR="006D2AA9">
        <w:rPr>
          <w:rFonts w:ascii="Century Gothic" w:hAnsi="Century Gothic"/>
        </w:rPr>
        <w:t>ey que ampara cada derecho de pensión.</w:t>
      </w:r>
    </w:p>
    <w:p w14:paraId="0C5FFC2B" w14:textId="500F862A" w:rsidR="00AE5E27" w:rsidRDefault="00F961ED" w:rsidP="0007347D">
      <w:pPr>
        <w:pStyle w:val="paragraph"/>
        <w:spacing w:before="0" w:beforeAutospacing="0" w:after="0" w:afterAutospacing="0" w:line="276" w:lineRule="auto"/>
        <w:jc w:val="both"/>
        <w:textAlignment w:val="baseline"/>
        <w:rPr>
          <w:rStyle w:val="eop"/>
          <w:rFonts w:ascii="Century Gothic" w:hAnsi="Century Gothic"/>
        </w:rPr>
      </w:pPr>
      <w:bookmarkStart w:id="2" w:name="_Hlk116410694"/>
      <w:bookmarkStart w:id="3" w:name="_Toc130064231"/>
      <w:bookmarkEnd w:id="0"/>
      <w:bookmarkEnd w:id="1"/>
      <w:r>
        <w:rPr>
          <w:rStyle w:val="eop"/>
          <w:rFonts w:ascii="Century Gothic" w:hAnsi="Century Gothic"/>
        </w:rPr>
        <w:t>A partir de estas referencias legales</w:t>
      </w:r>
      <w:r w:rsidR="0005436C">
        <w:rPr>
          <w:rStyle w:val="eop"/>
          <w:rFonts w:ascii="Century Gothic" w:hAnsi="Century Gothic"/>
        </w:rPr>
        <w:t>, conocedores del congelamiento de los salarios desde el año 2020, que ha ocasionado por tanto</w:t>
      </w:r>
      <w:r w:rsidR="00D11D68">
        <w:rPr>
          <w:rStyle w:val="eop"/>
          <w:rFonts w:ascii="Century Gothic" w:hAnsi="Century Gothic"/>
        </w:rPr>
        <w:t xml:space="preserve"> un deterioro en el poder adquisitivo para l</w:t>
      </w:r>
      <w:r w:rsidR="00E85EE1">
        <w:rPr>
          <w:rStyle w:val="eop"/>
          <w:rFonts w:ascii="Century Gothic" w:hAnsi="Century Gothic"/>
        </w:rPr>
        <w:t>o</w:t>
      </w:r>
      <w:r w:rsidR="00D11D68">
        <w:rPr>
          <w:rStyle w:val="eop"/>
          <w:rFonts w:ascii="Century Gothic" w:hAnsi="Century Gothic"/>
        </w:rPr>
        <w:t xml:space="preserve">s </w:t>
      </w:r>
      <w:r w:rsidR="00E85EE1">
        <w:rPr>
          <w:rStyle w:val="eop"/>
          <w:rFonts w:ascii="Century Gothic" w:hAnsi="Century Gothic"/>
        </w:rPr>
        <w:t xml:space="preserve">pensionados y jubilados </w:t>
      </w:r>
      <w:r w:rsidR="009E7B3A">
        <w:rPr>
          <w:rStyle w:val="eop"/>
          <w:rFonts w:ascii="Century Gothic" w:hAnsi="Century Gothic"/>
        </w:rPr>
        <w:t xml:space="preserve">de las </w:t>
      </w:r>
      <w:r w:rsidR="00D11D68">
        <w:rPr>
          <w:rStyle w:val="eop"/>
          <w:rFonts w:ascii="Century Gothic" w:hAnsi="Century Gothic"/>
        </w:rPr>
        <w:t>leyes 2248 y 7268</w:t>
      </w:r>
      <w:r w:rsidR="00606FDD">
        <w:rPr>
          <w:rStyle w:val="eop"/>
          <w:rFonts w:ascii="Century Gothic" w:hAnsi="Century Gothic"/>
        </w:rPr>
        <w:t xml:space="preserve">, JUPEMA realizó un </w:t>
      </w:r>
      <w:r w:rsidR="009E7B3A">
        <w:rPr>
          <w:rStyle w:val="eop"/>
          <w:rFonts w:ascii="Century Gothic" w:hAnsi="Century Gothic"/>
        </w:rPr>
        <w:t xml:space="preserve">reciente </w:t>
      </w:r>
      <w:r w:rsidR="00606FDD">
        <w:rPr>
          <w:rStyle w:val="eop"/>
          <w:rFonts w:ascii="Century Gothic" w:hAnsi="Century Gothic"/>
        </w:rPr>
        <w:t>estudio actuarial</w:t>
      </w:r>
      <w:r w:rsidR="00F65EBD">
        <w:rPr>
          <w:rStyle w:val="eop"/>
          <w:rFonts w:ascii="Century Gothic" w:hAnsi="Century Gothic"/>
        </w:rPr>
        <w:t xml:space="preserve"> </w:t>
      </w:r>
      <w:r w:rsidR="00620B12">
        <w:rPr>
          <w:rStyle w:val="eop"/>
          <w:rFonts w:ascii="Century Gothic" w:hAnsi="Century Gothic"/>
        </w:rPr>
        <w:t>partiendo del</w:t>
      </w:r>
      <w:r w:rsidR="00B34DD7">
        <w:rPr>
          <w:rStyle w:val="eop"/>
          <w:rFonts w:ascii="Century Gothic" w:hAnsi="Century Gothic"/>
        </w:rPr>
        <w:t xml:space="preserve"> año 1996 en adelante, </w:t>
      </w:r>
      <w:r w:rsidR="009E7B3A">
        <w:rPr>
          <w:rStyle w:val="eop"/>
          <w:rFonts w:ascii="Century Gothic" w:hAnsi="Century Gothic"/>
        </w:rPr>
        <w:t>para demostrar</w:t>
      </w:r>
      <w:r w:rsidR="00620B12">
        <w:rPr>
          <w:rStyle w:val="eop"/>
          <w:rFonts w:ascii="Century Gothic" w:hAnsi="Century Gothic"/>
        </w:rPr>
        <w:t>, técnicamente,</w:t>
      </w:r>
      <w:r w:rsidR="009E7B3A">
        <w:rPr>
          <w:rStyle w:val="eop"/>
          <w:rFonts w:ascii="Century Gothic" w:hAnsi="Century Gothic"/>
        </w:rPr>
        <w:t xml:space="preserve"> </w:t>
      </w:r>
      <w:r w:rsidR="00107012">
        <w:rPr>
          <w:rStyle w:val="eop"/>
          <w:rFonts w:ascii="Century Gothic" w:hAnsi="Century Gothic"/>
        </w:rPr>
        <w:t>ante los agremiados, colegiados, la opinión pública</w:t>
      </w:r>
      <w:r w:rsidR="00BA0194">
        <w:rPr>
          <w:rStyle w:val="eop"/>
          <w:rFonts w:ascii="Century Gothic" w:hAnsi="Century Gothic"/>
        </w:rPr>
        <w:t>,</w:t>
      </w:r>
      <w:r w:rsidR="00966C6F">
        <w:rPr>
          <w:rStyle w:val="eop"/>
          <w:rFonts w:ascii="Century Gothic" w:hAnsi="Century Gothic"/>
        </w:rPr>
        <w:t xml:space="preserve"> el gobierno,</w:t>
      </w:r>
      <w:r w:rsidR="005A7555">
        <w:rPr>
          <w:rStyle w:val="eop"/>
          <w:rFonts w:ascii="Century Gothic" w:hAnsi="Century Gothic"/>
        </w:rPr>
        <w:t xml:space="preserve"> </w:t>
      </w:r>
      <w:r w:rsidR="00620B12">
        <w:rPr>
          <w:rStyle w:val="eop"/>
          <w:rFonts w:ascii="Century Gothic" w:hAnsi="Century Gothic"/>
        </w:rPr>
        <w:t xml:space="preserve">y demás </w:t>
      </w:r>
      <w:r w:rsidR="00F65EBD">
        <w:rPr>
          <w:rStyle w:val="eop"/>
          <w:rFonts w:ascii="Century Gothic" w:hAnsi="Century Gothic"/>
        </w:rPr>
        <w:t xml:space="preserve">grupos de interés, </w:t>
      </w:r>
      <w:r w:rsidR="005A7555">
        <w:rPr>
          <w:rStyle w:val="eop"/>
          <w:rFonts w:ascii="Century Gothic" w:hAnsi="Century Gothic"/>
        </w:rPr>
        <w:t>la pérdida d</w:t>
      </w:r>
      <w:r w:rsidR="00620B12">
        <w:rPr>
          <w:rStyle w:val="eop"/>
          <w:rFonts w:ascii="Century Gothic" w:hAnsi="Century Gothic"/>
        </w:rPr>
        <w:t>e</w:t>
      </w:r>
      <w:r w:rsidR="001532D7">
        <w:rPr>
          <w:rStyle w:val="eop"/>
          <w:rFonts w:ascii="Century Gothic" w:hAnsi="Century Gothic"/>
        </w:rPr>
        <w:t xml:space="preserve"> </w:t>
      </w:r>
      <w:r w:rsidR="005A7555">
        <w:rPr>
          <w:rStyle w:val="eop"/>
          <w:rFonts w:ascii="Century Gothic" w:hAnsi="Century Gothic"/>
        </w:rPr>
        <w:t xml:space="preserve">poder adquisitivo </w:t>
      </w:r>
      <w:r w:rsidR="00620B12">
        <w:rPr>
          <w:rStyle w:val="eop"/>
          <w:rFonts w:ascii="Century Gothic" w:hAnsi="Century Gothic"/>
        </w:rPr>
        <w:t xml:space="preserve">que han tenido los </w:t>
      </w:r>
      <w:r w:rsidR="00F84649">
        <w:rPr>
          <w:rStyle w:val="eop"/>
          <w:rFonts w:ascii="Century Gothic" w:hAnsi="Century Gothic"/>
        </w:rPr>
        <w:t>pension</w:t>
      </w:r>
      <w:r w:rsidR="00620B12">
        <w:rPr>
          <w:rStyle w:val="eop"/>
          <w:rFonts w:ascii="Century Gothic" w:hAnsi="Century Gothic"/>
        </w:rPr>
        <w:t>ados</w:t>
      </w:r>
      <w:r w:rsidR="00F84649">
        <w:rPr>
          <w:rStyle w:val="eop"/>
          <w:rFonts w:ascii="Century Gothic" w:hAnsi="Century Gothic"/>
        </w:rPr>
        <w:t xml:space="preserve"> del Régimen Transitorio de Reparto (RTR)</w:t>
      </w:r>
      <w:r w:rsidR="00620B12">
        <w:rPr>
          <w:rStyle w:val="eop"/>
          <w:rFonts w:ascii="Century Gothic" w:hAnsi="Century Gothic"/>
        </w:rPr>
        <w:t>,</w:t>
      </w:r>
      <w:r w:rsidR="00F84649">
        <w:rPr>
          <w:rStyle w:val="eop"/>
          <w:rFonts w:ascii="Century Gothic" w:hAnsi="Century Gothic"/>
        </w:rPr>
        <w:t xml:space="preserve"> leyes 2248 y 7268</w:t>
      </w:r>
      <w:r w:rsidR="00471CE8">
        <w:rPr>
          <w:rStyle w:val="eop"/>
          <w:rFonts w:ascii="Century Gothic" w:hAnsi="Century Gothic"/>
        </w:rPr>
        <w:t xml:space="preserve">, </w:t>
      </w:r>
      <w:r w:rsidR="00620B12">
        <w:rPr>
          <w:rStyle w:val="eop"/>
          <w:rFonts w:ascii="Century Gothic" w:hAnsi="Century Gothic"/>
        </w:rPr>
        <w:t xml:space="preserve">con rige desde 1996 a la fecha, </w:t>
      </w:r>
      <w:r w:rsidR="00471CE8">
        <w:rPr>
          <w:rStyle w:val="eop"/>
          <w:rFonts w:ascii="Century Gothic" w:hAnsi="Century Gothic"/>
        </w:rPr>
        <w:t>la cu</w:t>
      </w:r>
      <w:r w:rsidR="00D44EEF">
        <w:rPr>
          <w:rStyle w:val="eop"/>
          <w:rFonts w:ascii="Century Gothic" w:hAnsi="Century Gothic"/>
        </w:rPr>
        <w:t>a</w:t>
      </w:r>
      <w:r w:rsidR="00471CE8">
        <w:rPr>
          <w:rStyle w:val="eop"/>
          <w:rFonts w:ascii="Century Gothic" w:hAnsi="Century Gothic"/>
        </w:rPr>
        <w:t>l se detalla a continuación</w:t>
      </w:r>
      <w:r w:rsidR="003E0AF7">
        <w:rPr>
          <w:rStyle w:val="eop"/>
          <w:rFonts w:ascii="Century Gothic" w:hAnsi="Century Gothic"/>
        </w:rPr>
        <w:t xml:space="preserve"> en el siguiente cuadro</w:t>
      </w:r>
      <w:r w:rsidR="00471CE8">
        <w:rPr>
          <w:rStyle w:val="eop"/>
          <w:rFonts w:ascii="Century Gothic" w:hAnsi="Century Gothic"/>
        </w:rPr>
        <w:t>:</w:t>
      </w:r>
    </w:p>
    <w:p w14:paraId="0746D704" w14:textId="77777777" w:rsidR="00BA0194" w:rsidRDefault="00BA0194" w:rsidP="0007347D">
      <w:pPr>
        <w:pStyle w:val="paragraph"/>
        <w:spacing w:before="0" w:beforeAutospacing="0" w:after="0" w:afterAutospacing="0" w:line="276" w:lineRule="auto"/>
        <w:jc w:val="both"/>
        <w:textAlignment w:val="baseline"/>
        <w:rPr>
          <w:rStyle w:val="eop"/>
          <w:rFonts w:ascii="Century Gothic" w:hAnsi="Century Gothic"/>
        </w:rPr>
      </w:pPr>
    </w:p>
    <w:p w14:paraId="7FC4AF19" w14:textId="77777777" w:rsidR="00B7536A" w:rsidRDefault="00B7536A" w:rsidP="0007347D">
      <w:pPr>
        <w:pStyle w:val="paragraph"/>
        <w:spacing w:before="0" w:beforeAutospacing="0" w:after="0" w:afterAutospacing="0" w:line="276" w:lineRule="auto"/>
        <w:jc w:val="both"/>
        <w:textAlignment w:val="baseline"/>
        <w:rPr>
          <w:rStyle w:val="eop"/>
          <w:rFonts w:ascii="Century Gothic" w:hAnsi="Century Gothic"/>
        </w:rPr>
      </w:pPr>
    </w:p>
    <w:p w14:paraId="26DCF421" w14:textId="33BB6749" w:rsidR="00D972B5" w:rsidRPr="00582561" w:rsidRDefault="00D972B5" w:rsidP="00B3193D">
      <w:pPr>
        <w:pStyle w:val="paragraph"/>
        <w:spacing w:before="0" w:beforeAutospacing="0" w:after="0" w:afterAutospacing="0" w:line="276" w:lineRule="auto"/>
        <w:jc w:val="center"/>
        <w:textAlignment w:val="baseline"/>
        <w:rPr>
          <w:rStyle w:val="eop"/>
          <w:rFonts w:ascii="Century Gothic" w:hAnsi="Century Gothic"/>
          <w:b/>
          <w:bCs/>
          <w:sz w:val="22"/>
          <w:szCs w:val="22"/>
        </w:rPr>
      </w:pPr>
      <w:r w:rsidRPr="00582561">
        <w:rPr>
          <w:rStyle w:val="eop"/>
          <w:rFonts w:ascii="Century Gothic" w:hAnsi="Century Gothic"/>
          <w:b/>
          <w:bCs/>
          <w:sz w:val="22"/>
          <w:szCs w:val="22"/>
        </w:rPr>
        <w:t>C</w:t>
      </w:r>
      <w:r w:rsidR="00A779D2">
        <w:rPr>
          <w:rStyle w:val="eop"/>
          <w:rFonts w:ascii="Century Gothic" w:hAnsi="Century Gothic"/>
          <w:b/>
          <w:bCs/>
          <w:sz w:val="22"/>
          <w:szCs w:val="22"/>
        </w:rPr>
        <w:t>UADRO</w:t>
      </w:r>
      <w:r w:rsidRPr="00582561">
        <w:rPr>
          <w:rStyle w:val="eop"/>
          <w:rFonts w:ascii="Century Gothic" w:hAnsi="Century Gothic"/>
          <w:b/>
          <w:bCs/>
          <w:sz w:val="22"/>
          <w:szCs w:val="22"/>
        </w:rPr>
        <w:t xml:space="preserve"> 1</w:t>
      </w:r>
      <w:r w:rsidR="00B3193D" w:rsidRPr="00582561">
        <w:rPr>
          <w:rStyle w:val="eop"/>
          <w:rFonts w:ascii="Century Gothic" w:hAnsi="Century Gothic"/>
          <w:b/>
          <w:bCs/>
          <w:sz w:val="22"/>
          <w:szCs w:val="22"/>
        </w:rPr>
        <w:t xml:space="preserve">: </w:t>
      </w:r>
      <w:r w:rsidRPr="00582561">
        <w:rPr>
          <w:rStyle w:val="eop"/>
          <w:rFonts w:ascii="Century Gothic" w:hAnsi="Century Gothic"/>
          <w:b/>
          <w:bCs/>
          <w:sz w:val="22"/>
          <w:szCs w:val="22"/>
        </w:rPr>
        <w:t>RÉGIMEN TRANSITORIO DE REPARTO</w:t>
      </w:r>
    </w:p>
    <w:p w14:paraId="3ABD05F0" w14:textId="3AA62A53" w:rsidR="00B3193D" w:rsidRPr="00582561" w:rsidRDefault="00B3193D" w:rsidP="00B3193D">
      <w:pPr>
        <w:pStyle w:val="paragraph"/>
        <w:spacing w:before="0" w:beforeAutospacing="0" w:after="0" w:afterAutospacing="0" w:line="276" w:lineRule="auto"/>
        <w:jc w:val="center"/>
        <w:textAlignment w:val="baseline"/>
        <w:rPr>
          <w:rStyle w:val="eop"/>
          <w:rFonts w:ascii="Century Gothic" w:hAnsi="Century Gothic"/>
          <w:b/>
          <w:bCs/>
          <w:sz w:val="22"/>
          <w:szCs w:val="22"/>
        </w:rPr>
      </w:pPr>
      <w:r w:rsidRPr="00582561">
        <w:rPr>
          <w:rStyle w:val="eop"/>
          <w:rFonts w:ascii="Century Gothic" w:hAnsi="Century Gothic"/>
          <w:b/>
          <w:bCs/>
          <w:sz w:val="22"/>
          <w:szCs w:val="22"/>
        </w:rPr>
        <w:t xml:space="preserve">Ganancia o pérdida </w:t>
      </w:r>
      <w:r w:rsidR="002A62AC" w:rsidRPr="00582561">
        <w:rPr>
          <w:rStyle w:val="eop"/>
          <w:rFonts w:ascii="Century Gothic" w:hAnsi="Century Gothic"/>
          <w:b/>
          <w:bCs/>
          <w:sz w:val="22"/>
          <w:szCs w:val="22"/>
        </w:rPr>
        <w:t xml:space="preserve">acumulada </w:t>
      </w:r>
      <w:r w:rsidRPr="00582561">
        <w:rPr>
          <w:rStyle w:val="eop"/>
          <w:rFonts w:ascii="Century Gothic" w:hAnsi="Century Gothic"/>
          <w:b/>
          <w:bCs/>
          <w:sz w:val="22"/>
          <w:szCs w:val="22"/>
        </w:rPr>
        <w:t>de</w:t>
      </w:r>
      <w:r w:rsidR="002A62AC" w:rsidRPr="00582561">
        <w:rPr>
          <w:rStyle w:val="eop"/>
          <w:rFonts w:ascii="Century Gothic" w:hAnsi="Century Gothic"/>
          <w:b/>
          <w:bCs/>
          <w:sz w:val="22"/>
          <w:szCs w:val="22"/>
        </w:rPr>
        <w:t>l</w:t>
      </w:r>
      <w:r w:rsidRPr="00582561">
        <w:rPr>
          <w:rStyle w:val="eop"/>
          <w:rFonts w:ascii="Century Gothic" w:hAnsi="Century Gothic"/>
          <w:b/>
          <w:bCs/>
          <w:sz w:val="22"/>
          <w:szCs w:val="22"/>
        </w:rPr>
        <w:t xml:space="preserve"> poder adquisitivo</w:t>
      </w:r>
      <w:r w:rsidR="002A62AC" w:rsidRPr="00582561">
        <w:rPr>
          <w:rStyle w:val="eop"/>
          <w:rFonts w:ascii="Century Gothic" w:hAnsi="Century Gothic"/>
          <w:b/>
          <w:bCs/>
          <w:sz w:val="22"/>
          <w:szCs w:val="22"/>
        </w:rPr>
        <w:t xml:space="preserve"> </w:t>
      </w:r>
      <w:r w:rsidR="00951574" w:rsidRPr="00582561">
        <w:rPr>
          <w:rStyle w:val="eop"/>
          <w:rFonts w:ascii="Century Gothic" w:hAnsi="Century Gothic"/>
          <w:b/>
          <w:bCs/>
          <w:sz w:val="22"/>
          <w:szCs w:val="22"/>
        </w:rPr>
        <w:t>en las pensiones de las leyes 2248 y 7268</w:t>
      </w:r>
    </w:p>
    <w:p w14:paraId="43FF54B9" w14:textId="25C6C2EC" w:rsidR="00471CE8" w:rsidRDefault="00951574" w:rsidP="00582561">
      <w:pPr>
        <w:pStyle w:val="paragraph"/>
        <w:spacing w:before="0" w:beforeAutospacing="0" w:after="0" w:afterAutospacing="0" w:line="276" w:lineRule="auto"/>
        <w:jc w:val="center"/>
        <w:textAlignment w:val="baseline"/>
        <w:rPr>
          <w:rStyle w:val="eop"/>
          <w:rFonts w:ascii="Century Gothic" w:hAnsi="Century Gothic"/>
          <w:b/>
          <w:bCs/>
          <w:sz w:val="22"/>
          <w:szCs w:val="22"/>
        </w:rPr>
      </w:pPr>
      <w:r w:rsidRPr="00582561">
        <w:rPr>
          <w:rStyle w:val="eop"/>
          <w:rFonts w:ascii="Century Gothic" w:hAnsi="Century Gothic"/>
          <w:b/>
          <w:bCs/>
          <w:sz w:val="22"/>
          <w:szCs w:val="22"/>
        </w:rPr>
        <w:t>Año</w:t>
      </w:r>
      <w:r w:rsidR="00582561" w:rsidRPr="00582561">
        <w:rPr>
          <w:rStyle w:val="eop"/>
          <w:rFonts w:ascii="Century Gothic" w:hAnsi="Century Gothic"/>
          <w:b/>
          <w:bCs/>
          <w:sz w:val="22"/>
          <w:szCs w:val="22"/>
        </w:rPr>
        <w:t xml:space="preserve">: </w:t>
      </w:r>
      <w:r w:rsidRPr="00582561">
        <w:rPr>
          <w:rStyle w:val="eop"/>
          <w:rFonts w:ascii="Century Gothic" w:hAnsi="Century Gothic"/>
          <w:b/>
          <w:bCs/>
          <w:sz w:val="22"/>
          <w:szCs w:val="22"/>
        </w:rPr>
        <w:t>1996-2023</w:t>
      </w:r>
    </w:p>
    <w:p w14:paraId="44B7ED00" w14:textId="77777777" w:rsidR="00582561" w:rsidRPr="00582561" w:rsidRDefault="00582561" w:rsidP="00582561">
      <w:pPr>
        <w:pStyle w:val="paragraph"/>
        <w:spacing w:before="0" w:beforeAutospacing="0" w:after="0" w:afterAutospacing="0" w:line="276" w:lineRule="auto"/>
        <w:jc w:val="center"/>
        <w:textAlignment w:val="baseline"/>
        <w:rPr>
          <w:rStyle w:val="eop"/>
          <w:rFonts w:ascii="Century Gothic" w:hAnsi="Century Gothic"/>
          <w:b/>
          <w:bCs/>
          <w:sz w:val="4"/>
          <w:szCs w:val="4"/>
        </w:rPr>
      </w:pPr>
    </w:p>
    <w:tbl>
      <w:tblPr>
        <w:tblStyle w:val="Tablaconcuadrcula"/>
        <w:tblW w:w="8930" w:type="dxa"/>
        <w:tblInd w:w="137" w:type="dxa"/>
        <w:tblLook w:val="04A0" w:firstRow="1" w:lastRow="0" w:firstColumn="1" w:lastColumn="0" w:noHBand="0" w:noVBand="1"/>
      </w:tblPr>
      <w:tblGrid>
        <w:gridCol w:w="1701"/>
        <w:gridCol w:w="1559"/>
        <w:gridCol w:w="1418"/>
        <w:gridCol w:w="1417"/>
        <w:gridCol w:w="1418"/>
        <w:gridCol w:w="1417"/>
      </w:tblGrid>
      <w:tr w:rsidR="00A779D2" w14:paraId="3FBBC7C7" w14:textId="77777777" w:rsidTr="00852941">
        <w:tc>
          <w:tcPr>
            <w:tcW w:w="1701" w:type="dxa"/>
          </w:tcPr>
          <w:p w14:paraId="3E11F348" w14:textId="15BC3001" w:rsidR="00D74680" w:rsidRPr="00B725D2" w:rsidRDefault="00582561" w:rsidP="00582561">
            <w:pPr>
              <w:pStyle w:val="paragraph"/>
              <w:spacing w:before="0" w:beforeAutospacing="0" w:after="0" w:afterAutospacing="0" w:line="276" w:lineRule="auto"/>
              <w:jc w:val="center"/>
              <w:textAlignment w:val="baseline"/>
              <w:rPr>
                <w:rStyle w:val="eop"/>
                <w:rFonts w:ascii="Century Gothic" w:hAnsi="Century Gothic"/>
                <w:b/>
                <w:bCs/>
                <w:sz w:val="22"/>
                <w:szCs w:val="22"/>
              </w:rPr>
            </w:pPr>
            <w:r w:rsidRPr="00B725D2">
              <w:rPr>
                <w:rStyle w:val="eop"/>
                <w:rFonts w:ascii="Century Gothic" w:hAnsi="Century Gothic"/>
                <w:b/>
                <w:bCs/>
                <w:sz w:val="22"/>
                <w:szCs w:val="22"/>
              </w:rPr>
              <w:t>Año de Rige</w:t>
            </w:r>
          </w:p>
        </w:tc>
        <w:tc>
          <w:tcPr>
            <w:tcW w:w="1559" w:type="dxa"/>
          </w:tcPr>
          <w:p w14:paraId="51AED737" w14:textId="46158488" w:rsidR="00D74680" w:rsidRPr="00B725D2" w:rsidRDefault="00582561" w:rsidP="00582561">
            <w:pPr>
              <w:pStyle w:val="paragraph"/>
              <w:spacing w:before="0" w:beforeAutospacing="0" w:after="0" w:afterAutospacing="0" w:line="276" w:lineRule="auto"/>
              <w:jc w:val="center"/>
              <w:textAlignment w:val="baseline"/>
              <w:rPr>
                <w:rStyle w:val="eop"/>
                <w:rFonts w:ascii="Century Gothic" w:hAnsi="Century Gothic"/>
                <w:b/>
                <w:bCs/>
                <w:sz w:val="22"/>
                <w:szCs w:val="22"/>
              </w:rPr>
            </w:pPr>
            <w:r w:rsidRPr="00B725D2">
              <w:rPr>
                <w:rStyle w:val="eop"/>
                <w:rFonts w:ascii="Century Gothic" w:hAnsi="Century Gothic"/>
                <w:b/>
                <w:bCs/>
                <w:sz w:val="22"/>
                <w:szCs w:val="22"/>
              </w:rPr>
              <w:t>UCR</w:t>
            </w:r>
          </w:p>
        </w:tc>
        <w:tc>
          <w:tcPr>
            <w:tcW w:w="1418" w:type="dxa"/>
          </w:tcPr>
          <w:p w14:paraId="3B832C74" w14:textId="6B4C8A24" w:rsidR="00D74680" w:rsidRPr="00B725D2" w:rsidRDefault="00582561" w:rsidP="00582561">
            <w:pPr>
              <w:pStyle w:val="paragraph"/>
              <w:spacing w:before="0" w:beforeAutospacing="0" w:after="0" w:afterAutospacing="0" w:line="276" w:lineRule="auto"/>
              <w:jc w:val="center"/>
              <w:textAlignment w:val="baseline"/>
              <w:rPr>
                <w:rStyle w:val="eop"/>
                <w:rFonts w:ascii="Century Gothic" w:hAnsi="Century Gothic"/>
                <w:b/>
                <w:bCs/>
                <w:sz w:val="22"/>
                <w:szCs w:val="22"/>
              </w:rPr>
            </w:pPr>
            <w:r w:rsidRPr="00B725D2">
              <w:rPr>
                <w:rStyle w:val="eop"/>
                <w:rFonts w:ascii="Century Gothic" w:hAnsi="Century Gothic"/>
                <w:b/>
                <w:bCs/>
                <w:sz w:val="22"/>
                <w:szCs w:val="22"/>
              </w:rPr>
              <w:t>UNA</w:t>
            </w:r>
          </w:p>
        </w:tc>
        <w:tc>
          <w:tcPr>
            <w:tcW w:w="1417" w:type="dxa"/>
          </w:tcPr>
          <w:p w14:paraId="324D1EF4" w14:textId="3A5190D1" w:rsidR="00D74680" w:rsidRPr="00B725D2" w:rsidRDefault="00582561" w:rsidP="00582561">
            <w:pPr>
              <w:pStyle w:val="paragraph"/>
              <w:spacing w:before="0" w:beforeAutospacing="0" w:after="0" w:afterAutospacing="0" w:line="276" w:lineRule="auto"/>
              <w:jc w:val="center"/>
              <w:textAlignment w:val="baseline"/>
              <w:rPr>
                <w:rStyle w:val="eop"/>
                <w:rFonts w:ascii="Century Gothic" w:hAnsi="Century Gothic"/>
                <w:b/>
                <w:bCs/>
                <w:sz w:val="22"/>
                <w:szCs w:val="22"/>
              </w:rPr>
            </w:pPr>
            <w:r w:rsidRPr="00B725D2">
              <w:rPr>
                <w:rStyle w:val="eop"/>
                <w:rFonts w:ascii="Century Gothic" w:hAnsi="Century Gothic"/>
                <w:b/>
                <w:bCs/>
                <w:sz w:val="22"/>
                <w:szCs w:val="22"/>
              </w:rPr>
              <w:t>UNED</w:t>
            </w:r>
          </w:p>
        </w:tc>
        <w:tc>
          <w:tcPr>
            <w:tcW w:w="1418" w:type="dxa"/>
          </w:tcPr>
          <w:p w14:paraId="53A9550D" w14:textId="6658C807" w:rsidR="00D74680" w:rsidRPr="00B725D2" w:rsidRDefault="00EF6141" w:rsidP="00582561">
            <w:pPr>
              <w:pStyle w:val="paragraph"/>
              <w:spacing w:before="0" w:beforeAutospacing="0" w:after="0" w:afterAutospacing="0" w:line="276" w:lineRule="auto"/>
              <w:jc w:val="center"/>
              <w:textAlignment w:val="baseline"/>
              <w:rPr>
                <w:rStyle w:val="eop"/>
                <w:rFonts w:ascii="Century Gothic" w:hAnsi="Century Gothic"/>
                <w:b/>
                <w:bCs/>
                <w:sz w:val="22"/>
                <w:szCs w:val="22"/>
              </w:rPr>
            </w:pPr>
            <w:r>
              <w:rPr>
                <w:rStyle w:val="eop"/>
                <w:rFonts w:ascii="Century Gothic" w:hAnsi="Century Gothic"/>
                <w:b/>
                <w:bCs/>
                <w:sz w:val="22"/>
                <w:szCs w:val="22"/>
              </w:rPr>
              <w:t>TEC</w:t>
            </w:r>
          </w:p>
        </w:tc>
        <w:tc>
          <w:tcPr>
            <w:tcW w:w="1417" w:type="dxa"/>
          </w:tcPr>
          <w:p w14:paraId="2230A878" w14:textId="60083475" w:rsidR="00D74680" w:rsidRPr="00B725D2" w:rsidRDefault="00582561" w:rsidP="00582561">
            <w:pPr>
              <w:pStyle w:val="paragraph"/>
              <w:spacing w:before="0" w:beforeAutospacing="0" w:after="0" w:afterAutospacing="0" w:line="276" w:lineRule="auto"/>
              <w:jc w:val="center"/>
              <w:textAlignment w:val="baseline"/>
              <w:rPr>
                <w:rStyle w:val="eop"/>
                <w:rFonts w:ascii="Century Gothic" w:hAnsi="Century Gothic"/>
                <w:b/>
                <w:bCs/>
                <w:sz w:val="22"/>
                <w:szCs w:val="22"/>
              </w:rPr>
            </w:pPr>
            <w:r w:rsidRPr="00B725D2">
              <w:rPr>
                <w:rStyle w:val="eop"/>
                <w:rFonts w:ascii="Century Gothic" w:hAnsi="Century Gothic"/>
                <w:b/>
                <w:bCs/>
                <w:sz w:val="22"/>
                <w:szCs w:val="22"/>
              </w:rPr>
              <w:t>MEP</w:t>
            </w:r>
          </w:p>
        </w:tc>
      </w:tr>
      <w:tr w:rsidR="00A779D2" w14:paraId="52C8B1F0" w14:textId="77777777" w:rsidTr="00852941">
        <w:tc>
          <w:tcPr>
            <w:tcW w:w="1701" w:type="dxa"/>
          </w:tcPr>
          <w:p w14:paraId="21EC0260" w14:textId="26D4FD63" w:rsidR="00D74680" w:rsidRPr="00B725D2" w:rsidRDefault="00582561"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1996</w:t>
            </w:r>
          </w:p>
        </w:tc>
        <w:tc>
          <w:tcPr>
            <w:tcW w:w="1559" w:type="dxa"/>
          </w:tcPr>
          <w:p w14:paraId="7623D19F" w14:textId="620EEEDF" w:rsidR="00D74680" w:rsidRPr="00B725D2" w:rsidRDefault="00165152"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27.51%</w:t>
            </w:r>
          </w:p>
        </w:tc>
        <w:tc>
          <w:tcPr>
            <w:tcW w:w="1418" w:type="dxa"/>
          </w:tcPr>
          <w:p w14:paraId="572DBC2B" w14:textId="732CED22" w:rsidR="00D74680" w:rsidRPr="00B725D2" w:rsidRDefault="006017B9"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42.10%</w:t>
            </w:r>
          </w:p>
        </w:tc>
        <w:tc>
          <w:tcPr>
            <w:tcW w:w="1417" w:type="dxa"/>
          </w:tcPr>
          <w:p w14:paraId="10989DC2" w14:textId="2783FA02" w:rsidR="00D74680" w:rsidRPr="00B725D2" w:rsidRDefault="00DC526A"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18.79%</w:t>
            </w:r>
          </w:p>
        </w:tc>
        <w:tc>
          <w:tcPr>
            <w:tcW w:w="1418" w:type="dxa"/>
          </w:tcPr>
          <w:p w14:paraId="49E8D0AD" w14:textId="552DD682" w:rsidR="00D74680" w:rsidRPr="00B725D2" w:rsidRDefault="00FE79B5"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61.78%</w:t>
            </w:r>
          </w:p>
        </w:tc>
        <w:tc>
          <w:tcPr>
            <w:tcW w:w="1417" w:type="dxa"/>
            <w:shd w:val="clear" w:color="auto" w:fill="F7CAAC" w:themeFill="accent2" w:themeFillTint="66"/>
          </w:tcPr>
          <w:p w14:paraId="039A5558" w14:textId="19740339" w:rsidR="00D74680" w:rsidRPr="00B725D2" w:rsidRDefault="00571665"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- 27.50%</w:t>
            </w:r>
          </w:p>
        </w:tc>
      </w:tr>
      <w:tr w:rsidR="00A779D2" w14:paraId="38759FC4" w14:textId="77777777" w:rsidTr="00852941">
        <w:tc>
          <w:tcPr>
            <w:tcW w:w="1701" w:type="dxa"/>
          </w:tcPr>
          <w:p w14:paraId="785F1B07" w14:textId="5F1995B4" w:rsidR="00D74680" w:rsidRPr="00B725D2" w:rsidRDefault="00582561"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1997</w:t>
            </w:r>
          </w:p>
        </w:tc>
        <w:tc>
          <w:tcPr>
            <w:tcW w:w="1559" w:type="dxa"/>
          </w:tcPr>
          <w:p w14:paraId="739CC963" w14:textId="34439DEF" w:rsidR="00D74680" w:rsidRPr="00B725D2" w:rsidRDefault="00165152"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25.55%</w:t>
            </w:r>
          </w:p>
        </w:tc>
        <w:tc>
          <w:tcPr>
            <w:tcW w:w="1418" w:type="dxa"/>
          </w:tcPr>
          <w:p w14:paraId="60E6BFE4" w14:textId="6234779F" w:rsidR="00D74680" w:rsidRPr="00B725D2" w:rsidRDefault="006017B9"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35.27%</w:t>
            </w:r>
          </w:p>
        </w:tc>
        <w:tc>
          <w:tcPr>
            <w:tcW w:w="1417" w:type="dxa"/>
          </w:tcPr>
          <w:p w14:paraId="0F5C8172" w14:textId="058C72C4" w:rsidR="00D74680" w:rsidRPr="00B725D2" w:rsidRDefault="00DC526A"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18.62%</w:t>
            </w:r>
          </w:p>
        </w:tc>
        <w:tc>
          <w:tcPr>
            <w:tcW w:w="1418" w:type="dxa"/>
          </w:tcPr>
          <w:p w14:paraId="6ADEB04D" w14:textId="216F4BF2" w:rsidR="00D74680" w:rsidRPr="00B725D2" w:rsidRDefault="00FE79B5"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68.05%</w:t>
            </w:r>
          </w:p>
        </w:tc>
        <w:tc>
          <w:tcPr>
            <w:tcW w:w="1417" w:type="dxa"/>
            <w:shd w:val="clear" w:color="auto" w:fill="F7CAAC" w:themeFill="accent2" w:themeFillTint="66"/>
          </w:tcPr>
          <w:p w14:paraId="7C1E7B85" w14:textId="78ECD4D5" w:rsidR="00D74680" w:rsidRPr="00B725D2" w:rsidRDefault="00571665"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- 23.64%</w:t>
            </w:r>
          </w:p>
        </w:tc>
      </w:tr>
      <w:tr w:rsidR="00A779D2" w14:paraId="1D9D282A" w14:textId="77777777" w:rsidTr="00852941">
        <w:tc>
          <w:tcPr>
            <w:tcW w:w="1701" w:type="dxa"/>
          </w:tcPr>
          <w:p w14:paraId="137F0530" w14:textId="252A231D" w:rsidR="00D74680" w:rsidRPr="00B725D2" w:rsidRDefault="00582561"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1998</w:t>
            </w:r>
          </w:p>
        </w:tc>
        <w:tc>
          <w:tcPr>
            <w:tcW w:w="1559" w:type="dxa"/>
          </w:tcPr>
          <w:p w14:paraId="0AF6B3E5" w14:textId="18DDFC99" w:rsidR="00D74680" w:rsidRPr="00B725D2" w:rsidRDefault="00165152"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26.47%</w:t>
            </w:r>
          </w:p>
        </w:tc>
        <w:tc>
          <w:tcPr>
            <w:tcW w:w="1418" w:type="dxa"/>
          </w:tcPr>
          <w:p w14:paraId="3560072C" w14:textId="35B82F2D" w:rsidR="00D74680" w:rsidRPr="00B725D2" w:rsidRDefault="006017B9"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31.</w:t>
            </w:r>
            <w:r w:rsidR="007945DF" w:rsidRPr="00B725D2">
              <w:rPr>
                <w:rStyle w:val="eop"/>
                <w:rFonts w:ascii="Century Gothic" w:hAnsi="Century Gothic"/>
                <w:sz w:val="22"/>
                <w:szCs w:val="22"/>
              </w:rPr>
              <w:t>27%</w:t>
            </w:r>
          </w:p>
        </w:tc>
        <w:tc>
          <w:tcPr>
            <w:tcW w:w="1417" w:type="dxa"/>
          </w:tcPr>
          <w:p w14:paraId="3FFFF88E" w14:textId="67A484BD" w:rsidR="00D74680" w:rsidRPr="00B725D2" w:rsidRDefault="00DC526A"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21.29%</w:t>
            </w:r>
          </w:p>
        </w:tc>
        <w:tc>
          <w:tcPr>
            <w:tcW w:w="1418" w:type="dxa"/>
          </w:tcPr>
          <w:p w14:paraId="59EF23B2" w14:textId="3C48F97B" w:rsidR="00D74680" w:rsidRPr="00B725D2" w:rsidRDefault="00FE79B5"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64.60%</w:t>
            </w:r>
          </w:p>
        </w:tc>
        <w:tc>
          <w:tcPr>
            <w:tcW w:w="1417" w:type="dxa"/>
            <w:shd w:val="clear" w:color="auto" w:fill="F7CAAC" w:themeFill="accent2" w:themeFillTint="66"/>
          </w:tcPr>
          <w:p w14:paraId="463941C6" w14:textId="4E484CBB" w:rsidR="00D74680" w:rsidRPr="00B725D2" w:rsidRDefault="00571665"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- 22.98%</w:t>
            </w:r>
          </w:p>
        </w:tc>
      </w:tr>
      <w:tr w:rsidR="00A779D2" w14:paraId="3FBDDEEC" w14:textId="77777777" w:rsidTr="00852941">
        <w:tc>
          <w:tcPr>
            <w:tcW w:w="1701" w:type="dxa"/>
          </w:tcPr>
          <w:p w14:paraId="311AA7EE" w14:textId="1EA0252B" w:rsidR="00D74680" w:rsidRPr="00B725D2" w:rsidRDefault="00582561"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1999</w:t>
            </w:r>
          </w:p>
        </w:tc>
        <w:tc>
          <w:tcPr>
            <w:tcW w:w="1559" w:type="dxa"/>
          </w:tcPr>
          <w:p w14:paraId="66A912AD" w14:textId="37F71B24" w:rsidR="00D74680" w:rsidRPr="00B725D2" w:rsidRDefault="00165152"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27.47%</w:t>
            </w:r>
          </w:p>
        </w:tc>
        <w:tc>
          <w:tcPr>
            <w:tcW w:w="1418" w:type="dxa"/>
          </w:tcPr>
          <w:p w14:paraId="7F3E600B" w14:textId="4CF09711" w:rsidR="00D74680" w:rsidRPr="00B725D2" w:rsidRDefault="007945DF"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30.59%</w:t>
            </w:r>
          </w:p>
        </w:tc>
        <w:tc>
          <w:tcPr>
            <w:tcW w:w="1417" w:type="dxa"/>
          </w:tcPr>
          <w:p w14:paraId="16F7871A" w14:textId="341E45BA" w:rsidR="00D74680" w:rsidRPr="00B725D2" w:rsidRDefault="00DC526A"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22.97%</w:t>
            </w:r>
          </w:p>
        </w:tc>
        <w:tc>
          <w:tcPr>
            <w:tcW w:w="1418" w:type="dxa"/>
          </w:tcPr>
          <w:p w14:paraId="3106A2B9" w14:textId="3FD8AFE2" w:rsidR="00D74680" w:rsidRPr="00B725D2" w:rsidRDefault="00FE79B5"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51.18%</w:t>
            </w:r>
          </w:p>
        </w:tc>
        <w:tc>
          <w:tcPr>
            <w:tcW w:w="1417" w:type="dxa"/>
            <w:shd w:val="clear" w:color="auto" w:fill="F7CAAC" w:themeFill="accent2" w:themeFillTint="66"/>
          </w:tcPr>
          <w:p w14:paraId="669D6879" w14:textId="1E34E216" w:rsidR="00D74680" w:rsidRPr="00B725D2" w:rsidRDefault="00571665"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- 21.57%</w:t>
            </w:r>
          </w:p>
        </w:tc>
      </w:tr>
      <w:tr w:rsidR="00A779D2" w14:paraId="524B48EA" w14:textId="77777777" w:rsidTr="00852941">
        <w:tc>
          <w:tcPr>
            <w:tcW w:w="1701" w:type="dxa"/>
          </w:tcPr>
          <w:p w14:paraId="721DCBF6" w14:textId="15A8B3EF" w:rsidR="00D74680" w:rsidRPr="00B725D2" w:rsidRDefault="00582561"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2000</w:t>
            </w:r>
          </w:p>
        </w:tc>
        <w:tc>
          <w:tcPr>
            <w:tcW w:w="1559" w:type="dxa"/>
          </w:tcPr>
          <w:p w14:paraId="7C26A076" w14:textId="0BA0F529" w:rsidR="00D74680" w:rsidRPr="00B725D2" w:rsidRDefault="00165152"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28.60%</w:t>
            </w:r>
          </w:p>
        </w:tc>
        <w:tc>
          <w:tcPr>
            <w:tcW w:w="1418" w:type="dxa"/>
          </w:tcPr>
          <w:p w14:paraId="70E6D80F" w14:textId="29F2DBE8" w:rsidR="00D74680" w:rsidRPr="00B725D2" w:rsidRDefault="007945DF"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30.81%</w:t>
            </w:r>
          </w:p>
        </w:tc>
        <w:tc>
          <w:tcPr>
            <w:tcW w:w="1417" w:type="dxa"/>
          </w:tcPr>
          <w:p w14:paraId="62FBA7C4" w14:textId="25304A85" w:rsidR="00D74680" w:rsidRPr="00B725D2" w:rsidRDefault="00DC526A"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16.26%</w:t>
            </w:r>
          </w:p>
        </w:tc>
        <w:tc>
          <w:tcPr>
            <w:tcW w:w="1418" w:type="dxa"/>
          </w:tcPr>
          <w:p w14:paraId="6B5FEED4" w14:textId="2CDBC1A3" w:rsidR="00D74680" w:rsidRPr="00B725D2" w:rsidRDefault="00FE79B5"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47.50%</w:t>
            </w:r>
          </w:p>
        </w:tc>
        <w:tc>
          <w:tcPr>
            <w:tcW w:w="1417" w:type="dxa"/>
            <w:shd w:val="clear" w:color="auto" w:fill="F7CAAC" w:themeFill="accent2" w:themeFillTint="66"/>
          </w:tcPr>
          <w:p w14:paraId="5A5A390B" w14:textId="5C98582D" w:rsidR="00D74680" w:rsidRPr="00B725D2" w:rsidRDefault="00571665"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- 22.5</w:t>
            </w:r>
            <w:r w:rsidR="009B6662" w:rsidRPr="00B725D2">
              <w:rPr>
                <w:rStyle w:val="eop"/>
                <w:rFonts w:ascii="Century Gothic" w:hAnsi="Century Gothic"/>
                <w:sz w:val="22"/>
                <w:szCs w:val="22"/>
              </w:rPr>
              <w:t>5</w:t>
            </w:r>
            <w:r w:rsidRPr="00B725D2">
              <w:rPr>
                <w:rStyle w:val="eop"/>
                <w:rFonts w:ascii="Century Gothic" w:hAnsi="Century Gothic"/>
                <w:sz w:val="22"/>
                <w:szCs w:val="22"/>
              </w:rPr>
              <w:t>%</w:t>
            </w:r>
          </w:p>
        </w:tc>
      </w:tr>
      <w:tr w:rsidR="00A779D2" w14:paraId="14D2945B" w14:textId="77777777" w:rsidTr="00852941">
        <w:tc>
          <w:tcPr>
            <w:tcW w:w="1701" w:type="dxa"/>
          </w:tcPr>
          <w:p w14:paraId="2D3924C2" w14:textId="553E5F07" w:rsidR="00D74680" w:rsidRPr="00B725D2" w:rsidRDefault="00582561"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2001</w:t>
            </w:r>
          </w:p>
        </w:tc>
        <w:tc>
          <w:tcPr>
            <w:tcW w:w="1559" w:type="dxa"/>
          </w:tcPr>
          <w:p w14:paraId="0443E199" w14:textId="0B64F893" w:rsidR="00D74680" w:rsidRPr="00B725D2" w:rsidRDefault="00165152"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29.90%</w:t>
            </w:r>
          </w:p>
        </w:tc>
        <w:tc>
          <w:tcPr>
            <w:tcW w:w="1418" w:type="dxa"/>
          </w:tcPr>
          <w:p w14:paraId="3B326A1F" w14:textId="59FC3F06" w:rsidR="00D74680" w:rsidRPr="00B725D2" w:rsidRDefault="007945DF"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29.65%</w:t>
            </w:r>
          </w:p>
        </w:tc>
        <w:tc>
          <w:tcPr>
            <w:tcW w:w="1417" w:type="dxa"/>
          </w:tcPr>
          <w:p w14:paraId="181E024D" w14:textId="095208A1" w:rsidR="00D74680" w:rsidRPr="00B725D2" w:rsidRDefault="00DC526A"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15.29%</w:t>
            </w:r>
          </w:p>
        </w:tc>
        <w:tc>
          <w:tcPr>
            <w:tcW w:w="1418" w:type="dxa"/>
          </w:tcPr>
          <w:p w14:paraId="524B120C" w14:textId="21F8D5E4" w:rsidR="00D74680" w:rsidRPr="00B725D2" w:rsidRDefault="00FE79B5"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45.51%</w:t>
            </w:r>
          </w:p>
        </w:tc>
        <w:tc>
          <w:tcPr>
            <w:tcW w:w="1417" w:type="dxa"/>
            <w:shd w:val="clear" w:color="auto" w:fill="F7CAAC" w:themeFill="accent2" w:themeFillTint="66"/>
          </w:tcPr>
          <w:p w14:paraId="25003A8A" w14:textId="15155D67" w:rsidR="00D74680" w:rsidRPr="00B725D2" w:rsidRDefault="009B6662"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- 18.00%</w:t>
            </w:r>
          </w:p>
        </w:tc>
      </w:tr>
      <w:tr w:rsidR="00A779D2" w14:paraId="79E78B34" w14:textId="77777777" w:rsidTr="00852941">
        <w:tc>
          <w:tcPr>
            <w:tcW w:w="1701" w:type="dxa"/>
          </w:tcPr>
          <w:p w14:paraId="6D9220D3" w14:textId="012326A6" w:rsidR="00D74680" w:rsidRPr="00B725D2" w:rsidRDefault="00582561"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2002</w:t>
            </w:r>
          </w:p>
        </w:tc>
        <w:tc>
          <w:tcPr>
            <w:tcW w:w="1559" w:type="dxa"/>
          </w:tcPr>
          <w:p w14:paraId="1A024095" w14:textId="5346C979" w:rsidR="00D74680" w:rsidRPr="00B725D2" w:rsidRDefault="00165152"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30.41%</w:t>
            </w:r>
          </w:p>
        </w:tc>
        <w:tc>
          <w:tcPr>
            <w:tcW w:w="1418" w:type="dxa"/>
          </w:tcPr>
          <w:p w14:paraId="63744667" w14:textId="37761510" w:rsidR="00D74680" w:rsidRPr="00B725D2" w:rsidRDefault="007945DF"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28.76%</w:t>
            </w:r>
          </w:p>
        </w:tc>
        <w:tc>
          <w:tcPr>
            <w:tcW w:w="1417" w:type="dxa"/>
          </w:tcPr>
          <w:p w14:paraId="7EBDD90C" w14:textId="306F32BB" w:rsidR="00D74680" w:rsidRPr="00B725D2" w:rsidRDefault="00FE79B5"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15.44%</w:t>
            </w:r>
          </w:p>
        </w:tc>
        <w:tc>
          <w:tcPr>
            <w:tcW w:w="1418" w:type="dxa"/>
          </w:tcPr>
          <w:p w14:paraId="543C9652" w14:textId="70B45F36" w:rsidR="00D74680" w:rsidRPr="00B725D2" w:rsidRDefault="00571665"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44.99%</w:t>
            </w:r>
          </w:p>
        </w:tc>
        <w:tc>
          <w:tcPr>
            <w:tcW w:w="1417" w:type="dxa"/>
            <w:shd w:val="clear" w:color="auto" w:fill="F7CAAC" w:themeFill="accent2" w:themeFillTint="66"/>
          </w:tcPr>
          <w:p w14:paraId="335FB676" w14:textId="479183E5" w:rsidR="00D74680" w:rsidRPr="00B725D2" w:rsidRDefault="009B6662"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- 18.78%</w:t>
            </w:r>
          </w:p>
        </w:tc>
      </w:tr>
      <w:tr w:rsidR="00A779D2" w14:paraId="5AD01161" w14:textId="77777777" w:rsidTr="00852941">
        <w:tc>
          <w:tcPr>
            <w:tcW w:w="1701" w:type="dxa"/>
          </w:tcPr>
          <w:p w14:paraId="42D44EE3" w14:textId="4845AA32" w:rsidR="00D74680" w:rsidRPr="00B725D2" w:rsidRDefault="00582561"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2003</w:t>
            </w:r>
          </w:p>
        </w:tc>
        <w:tc>
          <w:tcPr>
            <w:tcW w:w="1559" w:type="dxa"/>
          </w:tcPr>
          <w:p w14:paraId="65E34430" w14:textId="368A0E6A" w:rsidR="00D74680" w:rsidRPr="00B725D2" w:rsidRDefault="006017B9"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28.51%</w:t>
            </w:r>
          </w:p>
        </w:tc>
        <w:tc>
          <w:tcPr>
            <w:tcW w:w="1418" w:type="dxa"/>
          </w:tcPr>
          <w:p w14:paraId="5ABBCA97" w14:textId="4440093C" w:rsidR="00D74680" w:rsidRPr="00B725D2" w:rsidRDefault="00CC5A6E"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27.96%</w:t>
            </w:r>
          </w:p>
        </w:tc>
        <w:tc>
          <w:tcPr>
            <w:tcW w:w="1417" w:type="dxa"/>
          </w:tcPr>
          <w:p w14:paraId="7157E4EF" w14:textId="090B4B24" w:rsidR="00D74680" w:rsidRPr="00B725D2" w:rsidRDefault="00FE79B5"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16.16%</w:t>
            </w:r>
          </w:p>
        </w:tc>
        <w:tc>
          <w:tcPr>
            <w:tcW w:w="1418" w:type="dxa"/>
          </w:tcPr>
          <w:p w14:paraId="53F69C1C" w14:textId="5569FEC3" w:rsidR="00D74680" w:rsidRPr="00B725D2" w:rsidRDefault="00571665"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43.03%</w:t>
            </w:r>
          </w:p>
        </w:tc>
        <w:tc>
          <w:tcPr>
            <w:tcW w:w="1417" w:type="dxa"/>
            <w:shd w:val="clear" w:color="auto" w:fill="F7CAAC" w:themeFill="accent2" w:themeFillTint="66"/>
          </w:tcPr>
          <w:p w14:paraId="36CFBE9B" w14:textId="7B1FE89A" w:rsidR="00D74680" w:rsidRPr="00B725D2" w:rsidRDefault="009B6662"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- 17.98%</w:t>
            </w:r>
          </w:p>
        </w:tc>
      </w:tr>
      <w:tr w:rsidR="00A779D2" w14:paraId="5FEA0485" w14:textId="77777777" w:rsidTr="00852941">
        <w:tc>
          <w:tcPr>
            <w:tcW w:w="1701" w:type="dxa"/>
          </w:tcPr>
          <w:p w14:paraId="7B37A49B" w14:textId="3D46901C" w:rsidR="00D74680" w:rsidRPr="00B725D2" w:rsidRDefault="00582561"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2004</w:t>
            </w:r>
          </w:p>
        </w:tc>
        <w:tc>
          <w:tcPr>
            <w:tcW w:w="1559" w:type="dxa"/>
          </w:tcPr>
          <w:p w14:paraId="20B2BD81" w14:textId="5C2430F4" w:rsidR="00D74680" w:rsidRPr="00B725D2" w:rsidRDefault="00611B63"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28.06%</w:t>
            </w:r>
          </w:p>
        </w:tc>
        <w:tc>
          <w:tcPr>
            <w:tcW w:w="1418" w:type="dxa"/>
          </w:tcPr>
          <w:p w14:paraId="041CC69F" w14:textId="746D6365" w:rsidR="00D74680" w:rsidRPr="00B725D2" w:rsidRDefault="0077428D"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27.45%</w:t>
            </w:r>
          </w:p>
        </w:tc>
        <w:tc>
          <w:tcPr>
            <w:tcW w:w="1417" w:type="dxa"/>
          </w:tcPr>
          <w:p w14:paraId="5EFC838C" w14:textId="3314F45C" w:rsidR="00D74680" w:rsidRPr="00B725D2" w:rsidRDefault="0077428D"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16.29%</w:t>
            </w:r>
          </w:p>
        </w:tc>
        <w:tc>
          <w:tcPr>
            <w:tcW w:w="1418" w:type="dxa"/>
          </w:tcPr>
          <w:p w14:paraId="184F7E22" w14:textId="63992243" w:rsidR="00D74680" w:rsidRPr="00B725D2" w:rsidRDefault="0077428D"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41.45%</w:t>
            </w:r>
          </w:p>
        </w:tc>
        <w:tc>
          <w:tcPr>
            <w:tcW w:w="1417" w:type="dxa"/>
            <w:shd w:val="clear" w:color="auto" w:fill="F7CAAC" w:themeFill="accent2" w:themeFillTint="66"/>
          </w:tcPr>
          <w:p w14:paraId="3CA6A3E3" w14:textId="063D8B67" w:rsidR="00D74680" w:rsidRPr="00B725D2" w:rsidRDefault="00915142"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- 14.62%</w:t>
            </w:r>
          </w:p>
        </w:tc>
      </w:tr>
      <w:tr w:rsidR="00A779D2" w14:paraId="5A48F9CA" w14:textId="77777777" w:rsidTr="00852941">
        <w:tc>
          <w:tcPr>
            <w:tcW w:w="1701" w:type="dxa"/>
          </w:tcPr>
          <w:p w14:paraId="2FBC3FFA" w14:textId="4832DB37" w:rsidR="0077428D" w:rsidRPr="00B725D2" w:rsidRDefault="0077428D" w:rsidP="0077428D">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2005</w:t>
            </w:r>
          </w:p>
        </w:tc>
        <w:tc>
          <w:tcPr>
            <w:tcW w:w="1559" w:type="dxa"/>
          </w:tcPr>
          <w:p w14:paraId="63EF359B" w14:textId="3D4180E3" w:rsidR="0077428D" w:rsidRPr="00B725D2" w:rsidRDefault="0077428D" w:rsidP="0077428D">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sz w:val="22"/>
                <w:szCs w:val="22"/>
              </w:rPr>
              <w:t xml:space="preserve">31.41% </w:t>
            </w:r>
          </w:p>
        </w:tc>
        <w:tc>
          <w:tcPr>
            <w:tcW w:w="1418" w:type="dxa"/>
          </w:tcPr>
          <w:p w14:paraId="6AE868B4" w14:textId="6468235A" w:rsidR="0077428D" w:rsidRPr="00B725D2" w:rsidRDefault="0077428D" w:rsidP="0077428D">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sz w:val="22"/>
                <w:szCs w:val="22"/>
              </w:rPr>
              <w:t xml:space="preserve">30.78% </w:t>
            </w:r>
          </w:p>
        </w:tc>
        <w:tc>
          <w:tcPr>
            <w:tcW w:w="1417" w:type="dxa"/>
          </w:tcPr>
          <w:p w14:paraId="7105A2B8" w14:textId="31C34A6D" w:rsidR="0077428D" w:rsidRPr="00B725D2" w:rsidRDefault="0077428D" w:rsidP="0077428D">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sz w:val="22"/>
                <w:szCs w:val="22"/>
              </w:rPr>
              <w:t xml:space="preserve">19.50% </w:t>
            </w:r>
          </w:p>
        </w:tc>
        <w:tc>
          <w:tcPr>
            <w:tcW w:w="1418" w:type="dxa"/>
          </w:tcPr>
          <w:p w14:paraId="00406B41" w14:textId="07403434" w:rsidR="0077428D" w:rsidRPr="00B725D2" w:rsidRDefault="0077428D" w:rsidP="0077428D">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sz w:val="22"/>
                <w:szCs w:val="22"/>
              </w:rPr>
              <w:t xml:space="preserve">43.32% </w:t>
            </w:r>
          </w:p>
        </w:tc>
        <w:tc>
          <w:tcPr>
            <w:tcW w:w="1417" w:type="dxa"/>
            <w:shd w:val="clear" w:color="auto" w:fill="F7CAAC" w:themeFill="accent2" w:themeFillTint="66"/>
          </w:tcPr>
          <w:p w14:paraId="425F3A36" w14:textId="451F71E0" w:rsidR="0077428D" w:rsidRPr="00B725D2" w:rsidRDefault="0077428D" w:rsidP="0077428D">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sz w:val="22"/>
                <w:szCs w:val="22"/>
              </w:rPr>
              <w:t>-11.14%</w:t>
            </w:r>
          </w:p>
        </w:tc>
      </w:tr>
      <w:tr w:rsidR="00A779D2" w14:paraId="417A9B86" w14:textId="77777777" w:rsidTr="00852941">
        <w:tc>
          <w:tcPr>
            <w:tcW w:w="1701" w:type="dxa"/>
          </w:tcPr>
          <w:p w14:paraId="3CA3B03F" w14:textId="3A70B07C" w:rsidR="00D74680" w:rsidRPr="00B725D2" w:rsidRDefault="00582561"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2006</w:t>
            </w:r>
          </w:p>
        </w:tc>
        <w:tc>
          <w:tcPr>
            <w:tcW w:w="1559" w:type="dxa"/>
          </w:tcPr>
          <w:p w14:paraId="6EAD3002" w14:textId="78C98AA6" w:rsidR="00D74680" w:rsidRPr="00B725D2" w:rsidRDefault="00915142"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29.37%</w:t>
            </w:r>
          </w:p>
        </w:tc>
        <w:tc>
          <w:tcPr>
            <w:tcW w:w="1418" w:type="dxa"/>
          </w:tcPr>
          <w:p w14:paraId="0517B5BD" w14:textId="07202F1E" w:rsidR="00D74680" w:rsidRPr="00B725D2" w:rsidRDefault="002C466C"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29.90%</w:t>
            </w:r>
          </w:p>
        </w:tc>
        <w:tc>
          <w:tcPr>
            <w:tcW w:w="1417" w:type="dxa"/>
          </w:tcPr>
          <w:p w14:paraId="79A3D49F" w14:textId="20404052" w:rsidR="00D74680" w:rsidRPr="00B725D2" w:rsidRDefault="002C466C"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20.07%</w:t>
            </w:r>
          </w:p>
        </w:tc>
        <w:tc>
          <w:tcPr>
            <w:tcW w:w="1418" w:type="dxa"/>
          </w:tcPr>
          <w:p w14:paraId="1D20C41C" w14:textId="51726221" w:rsidR="00D74680" w:rsidRPr="00B725D2" w:rsidRDefault="002C466C"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40.45%</w:t>
            </w:r>
          </w:p>
        </w:tc>
        <w:tc>
          <w:tcPr>
            <w:tcW w:w="1417" w:type="dxa"/>
            <w:shd w:val="clear" w:color="auto" w:fill="F7CAAC" w:themeFill="accent2" w:themeFillTint="66"/>
          </w:tcPr>
          <w:p w14:paraId="0D1032D4" w14:textId="1FFDC1AC" w:rsidR="00D74680" w:rsidRPr="00B725D2" w:rsidRDefault="002C466C"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- 6.28%</w:t>
            </w:r>
          </w:p>
        </w:tc>
      </w:tr>
      <w:tr w:rsidR="00A779D2" w14:paraId="3CBEE219" w14:textId="77777777" w:rsidTr="00852941">
        <w:tc>
          <w:tcPr>
            <w:tcW w:w="1701" w:type="dxa"/>
          </w:tcPr>
          <w:p w14:paraId="17AD397A" w14:textId="312108C8" w:rsidR="00D74680" w:rsidRPr="00B725D2" w:rsidRDefault="00582561"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2007</w:t>
            </w:r>
          </w:p>
        </w:tc>
        <w:tc>
          <w:tcPr>
            <w:tcW w:w="1559" w:type="dxa"/>
          </w:tcPr>
          <w:p w14:paraId="6B82AFF8" w14:textId="45C3DFDA" w:rsidR="00D74680" w:rsidRPr="00B725D2" w:rsidRDefault="00915142"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25.24%</w:t>
            </w:r>
          </w:p>
        </w:tc>
        <w:tc>
          <w:tcPr>
            <w:tcW w:w="1418" w:type="dxa"/>
          </w:tcPr>
          <w:p w14:paraId="0FA5B535" w14:textId="40E64BED" w:rsidR="00D74680" w:rsidRPr="00B725D2" w:rsidRDefault="002C466C"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27.06%</w:t>
            </w:r>
          </w:p>
        </w:tc>
        <w:tc>
          <w:tcPr>
            <w:tcW w:w="1417" w:type="dxa"/>
          </w:tcPr>
          <w:p w14:paraId="63256C52" w14:textId="43CE176E" w:rsidR="00D74680" w:rsidRPr="00B725D2" w:rsidRDefault="00EC0326"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14.67%</w:t>
            </w:r>
          </w:p>
        </w:tc>
        <w:tc>
          <w:tcPr>
            <w:tcW w:w="1418" w:type="dxa"/>
          </w:tcPr>
          <w:p w14:paraId="2DB97D3A" w14:textId="40CBDCF1" w:rsidR="00D74680" w:rsidRPr="00B725D2" w:rsidRDefault="00EC0326"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37.66%</w:t>
            </w:r>
          </w:p>
        </w:tc>
        <w:tc>
          <w:tcPr>
            <w:tcW w:w="1417" w:type="dxa"/>
            <w:shd w:val="clear" w:color="auto" w:fill="F7CAAC" w:themeFill="accent2" w:themeFillTint="66"/>
          </w:tcPr>
          <w:p w14:paraId="4005E214" w14:textId="7A5C9DC1" w:rsidR="00D74680" w:rsidRPr="00B725D2" w:rsidRDefault="00EC0326"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- 5.63%</w:t>
            </w:r>
          </w:p>
        </w:tc>
      </w:tr>
      <w:tr w:rsidR="00A779D2" w14:paraId="08BD4C54" w14:textId="77777777" w:rsidTr="00852941">
        <w:tc>
          <w:tcPr>
            <w:tcW w:w="1701" w:type="dxa"/>
          </w:tcPr>
          <w:p w14:paraId="01F4A1D7" w14:textId="0A254921" w:rsidR="00D74680" w:rsidRPr="00B725D2" w:rsidRDefault="00582561"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2008</w:t>
            </w:r>
          </w:p>
        </w:tc>
        <w:tc>
          <w:tcPr>
            <w:tcW w:w="1559" w:type="dxa"/>
          </w:tcPr>
          <w:p w14:paraId="20F176E5" w14:textId="22FFFA7E" w:rsidR="00D74680" w:rsidRPr="00B725D2" w:rsidRDefault="00D34E85"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22.76%</w:t>
            </w:r>
          </w:p>
        </w:tc>
        <w:tc>
          <w:tcPr>
            <w:tcW w:w="1418" w:type="dxa"/>
          </w:tcPr>
          <w:p w14:paraId="6A6AF519" w14:textId="4650BEE0" w:rsidR="00D74680" w:rsidRPr="00B725D2" w:rsidRDefault="00063694"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26.50%</w:t>
            </w:r>
          </w:p>
        </w:tc>
        <w:tc>
          <w:tcPr>
            <w:tcW w:w="1417" w:type="dxa"/>
          </w:tcPr>
          <w:p w14:paraId="2449C2FC" w14:textId="393F9F5D" w:rsidR="00D74680" w:rsidRPr="00B725D2" w:rsidRDefault="00063694"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14.92%</w:t>
            </w:r>
          </w:p>
        </w:tc>
        <w:tc>
          <w:tcPr>
            <w:tcW w:w="1418" w:type="dxa"/>
          </w:tcPr>
          <w:p w14:paraId="3CC9FD89" w14:textId="099522DC" w:rsidR="00D74680" w:rsidRPr="00B725D2" w:rsidRDefault="00063694"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36.29%</w:t>
            </w:r>
          </w:p>
        </w:tc>
        <w:tc>
          <w:tcPr>
            <w:tcW w:w="1417" w:type="dxa"/>
            <w:shd w:val="clear" w:color="auto" w:fill="F7CAAC" w:themeFill="accent2" w:themeFillTint="66"/>
          </w:tcPr>
          <w:p w14:paraId="2C104F41" w14:textId="384F69DB" w:rsidR="00D74680" w:rsidRPr="00B725D2" w:rsidRDefault="00063694"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- 4.24%</w:t>
            </w:r>
          </w:p>
        </w:tc>
      </w:tr>
      <w:tr w:rsidR="00A779D2" w14:paraId="1DFBD7DF" w14:textId="77777777" w:rsidTr="00852941">
        <w:tc>
          <w:tcPr>
            <w:tcW w:w="1701" w:type="dxa"/>
          </w:tcPr>
          <w:p w14:paraId="6125F294" w14:textId="6C5866B0" w:rsidR="00D74680" w:rsidRPr="00B725D2" w:rsidRDefault="00582561"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2009</w:t>
            </w:r>
          </w:p>
        </w:tc>
        <w:tc>
          <w:tcPr>
            <w:tcW w:w="1559" w:type="dxa"/>
          </w:tcPr>
          <w:p w14:paraId="07D7FD39" w14:textId="20CF6273" w:rsidR="00D74680" w:rsidRPr="00B725D2" w:rsidRDefault="00D34E85"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20.87%</w:t>
            </w:r>
          </w:p>
        </w:tc>
        <w:tc>
          <w:tcPr>
            <w:tcW w:w="1418" w:type="dxa"/>
          </w:tcPr>
          <w:p w14:paraId="041A24F0" w14:textId="5A441466" w:rsidR="00D74680" w:rsidRPr="00B725D2" w:rsidRDefault="002245DB"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25.16%</w:t>
            </w:r>
          </w:p>
        </w:tc>
        <w:tc>
          <w:tcPr>
            <w:tcW w:w="1417" w:type="dxa"/>
          </w:tcPr>
          <w:p w14:paraId="7A07CB9F" w14:textId="51D781D0" w:rsidR="00D74680" w:rsidRPr="00B725D2" w:rsidRDefault="002245DB"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11.05%</w:t>
            </w:r>
          </w:p>
        </w:tc>
        <w:tc>
          <w:tcPr>
            <w:tcW w:w="1418" w:type="dxa"/>
          </w:tcPr>
          <w:p w14:paraId="181B9B0F" w14:textId="405E0102" w:rsidR="00D74680" w:rsidRPr="00B725D2" w:rsidRDefault="002245DB"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32.78%</w:t>
            </w:r>
          </w:p>
        </w:tc>
        <w:tc>
          <w:tcPr>
            <w:tcW w:w="1417" w:type="dxa"/>
            <w:shd w:val="clear" w:color="auto" w:fill="F7CAAC" w:themeFill="accent2" w:themeFillTint="66"/>
          </w:tcPr>
          <w:p w14:paraId="76185182" w14:textId="4255BBDC" w:rsidR="00D74680" w:rsidRPr="00B725D2" w:rsidRDefault="00B770C4"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- 3.32%</w:t>
            </w:r>
          </w:p>
        </w:tc>
      </w:tr>
      <w:tr w:rsidR="00A779D2" w14:paraId="0AF568BC" w14:textId="77777777" w:rsidTr="00852941">
        <w:tc>
          <w:tcPr>
            <w:tcW w:w="1701" w:type="dxa"/>
          </w:tcPr>
          <w:p w14:paraId="6195525D" w14:textId="7D938FD7" w:rsidR="00D74680" w:rsidRPr="00B725D2" w:rsidRDefault="00582561"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2010</w:t>
            </w:r>
          </w:p>
        </w:tc>
        <w:tc>
          <w:tcPr>
            <w:tcW w:w="1559" w:type="dxa"/>
          </w:tcPr>
          <w:p w14:paraId="38859726" w14:textId="1573871F" w:rsidR="00D74680" w:rsidRPr="00B725D2" w:rsidRDefault="00D34E85"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14.11%</w:t>
            </w:r>
          </w:p>
        </w:tc>
        <w:tc>
          <w:tcPr>
            <w:tcW w:w="1418" w:type="dxa"/>
          </w:tcPr>
          <w:p w14:paraId="78044CB7" w14:textId="1E95377E" w:rsidR="00D74680" w:rsidRPr="00B725D2" w:rsidRDefault="00B770C4"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8.72%</w:t>
            </w:r>
          </w:p>
        </w:tc>
        <w:tc>
          <w:tcPr>
            <w:tcW w:w="1417" w:type="dxa"/>
          </w:tcPr>
          <w:p w14:paraId="5800065C" w14:textId="53CF0D04" w:rsidR="00D74680" w:rsidRPr="00B725D2" w:rsidRDefault="00B770C4"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4.95%</w:t>
            </w:r>
          </w:p>
        </w:tc>
        <w:tc>
          <w:tcPr>
            <w:tcW w:w="1418" w:type="dxa"/>
          </w:tcPr>
          <w:p w14:paraId="1400D742" w14:textId="55D8DBEF" w:rsidR="00D74680" w:rsidRPr="00B725D2" w:rsidRDefault="00B770C4"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23.20%</w:t>
            </w:r>
          </w:p>
        </w:tc>
        <w:tc>
          <w:tcPr>
            <w:tcW w:w="1417" w:type="dxa"/>
            <w:shd w:val="clear" w:color="auto" w:fill="F7CAAC" w:themeFill="accent2" w:themeFillTint="66"/>
          </w:tcPr>
          <w:p w14:paraId="7F4EBEA9" w14:textId="01A169AB" w:rsidR="00D74680" w:rsidRPr="00B725D2" w:rsidRDefault="00B770C4"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- 7.02%</w:t>
            </w:r>
          </w:p>
        </w:tc>
      </w:tr>
      <w:tr w:rsidR="00A779D2" w14:paraId="7CF640C7" w14:textId="77777777" w:rsidTr="00852941">
        <w:tc>
          <w:tcPr>
            <w:tcW w:w="1701" w:type="dxa"/>
          </w:tcPr>
          <w:p w14:paraId="03BFBA35" w14:textId="5F3A0F0F" w:rsidR="00D74680" w:rsidRPr="00B725D2" w:rsidRDefault="00582561"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2011</w:t>
            </w:r>
          </w:p>
        </w:tc>
        <w:tc>
          <w:tcPr>
            <w:tcW w:w="1559" w:type="dxa"/>
          </w:tcPr>
          <w:p w14:paraId="6D5748C9" w14:textId="1253B78A" w:rsidR="00D74680" w:rsidRPr="00B725D2" w:rsidRDefault="00D34E85"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8.83%</w:t>
            </w:r>
          </w:p>
        </w:tc>
        <w:tc>
          <w:tcPr>
            <w:tcW w:w="1418" w:type="dxa"/>
          </w:tcPr>
          <w:p w14:paraId="48903670" w14:textId="78CF8D32" w:rsidR="00D74680" w:rsidRPr="00B725D2" w:rsidRDefault="002977B5"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7.40%</w:t>
            </w:r>
          </w:p>
        </w:tc>
        <w:tc>
          <w:tcPr>
            <w:tcW w:w="1417" w:type="dxa"/>
          </w:tcPr>
          <w:p w14:paraId="5F85446C" w14:textId="6386BB72" w:rsidR="00D74680" w:rsidRPr="00B725D2" w:rsidRDefault="002977B5"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2.63%</w:t>
            </w:r>
          </w:p>
        </w:tc>
        <w:tc>
          <w:tcPr>
            <w:tcW w:w="1418" w:type="dxa"/>
          </w:tcPr>
          <w:p w14:paraId="169EC5FE" w14:textId="7B94DBA7" w:rsidR="00D74680" w:rsidRPr="00B725D2" w:rsidRDefault="002977B5"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18.63%</w:t>
            </w:r>
          </w:p>
        </w:tc>
        <w:tc>
          <w:tcPr>
            <w:tcW w:w="1417" w:type="dxa"/>
            <w:shd w:val="clear" w:color="auto" w:fill="F7CAAC" w:themeFill="accent2" w:themeFillTint="66"/>
          </w:tcPr>
          <w:p w14:paraId="641E642F" w14:textId="4B5D7D42" w:rsidR="00D74680" w:rsidRPr="00B725D2" w:rsidRDefault="002977B5"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- 7.45%</w:t>
            </w:r>
          </w:p>
        </w:tc>
      </w:tr>
      <w:tr w:rsidR="00A779D2" w14:paraId="1D1FDED7" w14:textId="77777777" w:rsidTr="00852941">
        <w:tc>
          <w:tcPr>
            <w:tcW w:w="1701" w:type="dxa"/>
          </w:tcPr>
          <w:p w14:paraId="0E200D1B" w14:textId="1517EA53" w:rsidR="00D74680" w:rsidRPr="00B725D2" w:rsidRDefault="00582561"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2012</w:t>
            </w:r>
          </w:p>
        </w:tc>
        <w:tc>
          <w:tcPr>
            <w:tcW w:w="1559" w:type="dxa"/>
          </w:tcPr>
          <w:p w14:paraId="7EA36D31" w14:textId="7F3E8C66" w:rsidR="00D74680" w:rsidRPr="00B725D2" w:rsidRDefault="00A66BCC"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6.00%</w:t>
            </w:r>
          </w:p>
        </w:tc>
        <w:tc>
          <w:tcPr>
            <w:tcW w:w="1418" w:type="dxa"/>
          </w:tcPr>
          <w:p w14:paraId="5EA0ED54" w14:textId="5C32340F" w:rsidR="00D74680" w:rsidRPr="00B725D2" w:rsidRDefault="00842D2C"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6.03%</w:t>
            </w:r>
          </w:p>
        </w:tc>
        <w:tc>
          <w:tcPr>
            <w:tcW w:w="1417" w:type="dxa"/>
          </w:tcPr>
          <w:p w14:paraId="5EBDAB85" w14:textId="5DCD5547" w:rsidR="00D74680" w:rsidRPr="00B725D2" w:rsidRDefault="00842D2C"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3.32%</w:t>
            </w:r>
          </w:p>
        </w:tc>
        <w:tc>
          <w:tcPr>
            <w:tcW w:w="1418" w:type="dxa"/>
          </w:tcPr>
          <w:p w14:paraId="2D69FEC2" w14:textId="203D3C9A" w:rsidR="00D74680" w:rsidRPr="00B725D2" w:rsidRDefault="00842D2C"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10.59%</w:t>
            </w:r>
          </w:p>
        </w:tc>
        <w:tc>
          <w:tcPr>
            <w:tcW w:w="1417" w:type="dxa"/>
            <w:shd w:val="clear" w:color="auto" w:fill="F7CAAC" w:themeFill="accent2" w:themeFillTint="66"/>
          </w:tcPr>
          <w:p w14:paraId="565F3277" w14:textId="100D2A3D" w:rsidR="00D74680" w:rsidRPr="00B725D2" w:rsidRDefault="00842D2C"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- 7.83%</w:t>
            </w:r>
          </w:p>
        </w:tc>
      </w:tr>
      <w:tr w:rsidR="00A779D2" w14:paraId="10408CF7" w14:textId="77777777" w:rsidTr="00852941">
        <w:tc>
          <w:tcPr>
            <w:tcW w:w="1701" w:type="dxa"/>
          </w:tcPr>
          <w:p w14:paraId="6AB4AF40" w14:textId="058BD81E" w:rsidR="00D74680" w:rsidRPr="00B725D2" w:rsidRDefault="00582561"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2013</w:t>
            </w:r>
          </w:p>
        </w:tc>
        <w:tc>
          <w:tcPr>
            <w:tcW w:w="1559" w:type="dxa"/>
          </w:tcPr>
          <w:p w14:paraId="30B41F97" w14:textId="63C304B8" w:rsidR="00D74680" w:rsidRPr="00B725D2" w:rsidRDefault="00A66BCC"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5.55%</w:t>
            </w:r>
          </w:p>
        </w:tc>
        <w:tc>
          <w:tcPr>
            <w:tcW w:w="1418" w:type="dxa"/>
          </w:tcPr>
          <w:p w14:paraId="092CA892" w14:textId="46685F0F" w:rsidR="00D74680" w:rsidRPr="00B725D2" w:rsidRDefault="000C5B30"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5.50%</w:t>
            </w:r>
          </w:p>
        </w:tc>
        <w:tc>
          <w:tcPr>
            <w:tcW w:w="1417" w:type="dxa"/>
          </w:tcPr>
          <w:p w14:paraId="114B8BCF" w14:textId="3E91FA4A" w:rsidR="00D74680" w:rsidRPr="00B725D2" w:rsidRDefault="000C5B30"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3.07%</w:t>
            </w:r>
          </w:p>
        </w:tc>
        <w:tc>
          <w:tcPr>
            <w:tcW w:w="1418" w:type="dxa"/>
          </w:tcPr>
          <w:p w14:paraId="1A3F4278" w14:textId="5F3408D6" w:rsidR="00D74680" w:rsidRPr="00B725D2" w:rsidRDefault="000C5B30"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7.37%</w:t>
            </w:r>
          </w:p>
        </w:tc>
        <w:tc>
          <w:tcPr>
            <w:tcW w:w="1417" w:type="dxa"/>
            <w:shd w:val="clear" w:color="auto" w:fill="F7CAAC" w:themeFill="accent2" w:themeFillTint="66"/>
          </w:tcPr>
          <w:p w14:paraId="07E5A6E6" w14:textId="15F4CBAF" w:rsidR="00D74680" w:rsidRPr="00B725D2" w:rsidRDefault="000C5B30"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- 7.66%</w:t>
            </w:r>
          </w:p>
        </w:tc>
      </w:tr>
      <w:tr w:rsidR="00A779D2" w14:paraId="5EDD409B" w14:textId="77777777" w:rsidTr="00852941">
        <w:tc>
          <w:tcPr>
            <w:tcW w:w="1701" w:type="dxa"/>
          </w:tcPr>
          <w:p w14:paraId="176C972E" w14:textId="1F926F1C" w:rsidR="00D74680" w:rsidRPr="00B725D2" w:rsidRDefault="00582561"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2014</w:t>
            </w:r>
          </w:p>
        </w:tc>
        <w:tc>
          <w:tcPr>
            <w:tcW w:w="1559" w:type="dxa"/>
          </w:tcPr>
          <w:p w14:paraId="3BF08312" w14:textId="0BAB7593" w:rsidR="00D74680" w:rsidRPr="00B725D2" w:rsidRDefault="00A66BCC"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1.89%</w:t>
            </w:r>
          </w:p>
        </w:tc>
        <w:tc>
          <w:tcPr>
            <w:tcW w:w="1418" w:type="dxa"/>
          </w:tcPr>
          <w:p w14:paraId="14E12EB2" w14:textId="2502A175" w:rsidR="00D74680" w:rsidRPr="00B725D2" w:rsidRDefault="00EB7E3D"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3.10%</w:t>
            </w:r>
          </w:p>
        </w:tc>
        <w:tc>
          <w:tcPr>
            <w:tcW w:w="1417" w:type="dxa"/>
          </w:tcPr>
          <w:p w14:paraId="1DC91E62" w14:textId="6D51156D" w:rsidR="00D74680" w:rsidRPr="00B725D2" w:rsidRDefault="00EB7E3D"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0.15%</w:t>
            </w:r>
          </w:p>
        </w:tc>
        <w:tc>
          <w:tcPr>
            <w:tcW w:w="1418" w:type="dxa"/>
          </w:tcPr>
          <w:p w14:paraId="479F6686" w14:textId="1F2C0504" w:rsidR="00D74680" w:rsidRPr="00B725D2" w:rsidRDefault="00EB7E3D"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4.94%</w:t>
            </w:r>
          </w:p>
        </w:tc>
        <w:tc>
          <w:tcPr>
            <w:tcW w:w="1417" w:type="dxa"/>
            <w:shd w:val="clear" w:color="auto" w:fill="F7CAAC" w:themeFill="accent2" w:themeFillTint="66"/>
          </w:tcPr>
          <w:p w14:paraId="492D031D" w14:textId="18F94A47" w:rsidR="00D74680" w:rsidRPr="00B725D2" w:rsidRDefault="00EB7E3D"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- 8.94%</w:t>
            </w:r>
          </w:p>
        </w:tc>
      </w:tr>
      <w:tr w:rsidR="00A779D2" w14:paraId="2D94AA26" w14:textId="77777777" w:rsidTr="00852941">
        <w:tc>
          <w:tcPr>
            <w:tcW w:w="1701" w:type="dxa"/>
          </w:tcPr>
          <w:p w14:paraId="690468AD" w14:textId="41A52749" w:rsidR="00D74680" w:rsidRPr="00B725D2" w:rsidRDefault="00582561"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2015</w:t>
            </w:r>
          </w:p>
        </w:tc>
        <w:tc>
          <w:tcPr>
            <w:tcW w:w="1559" w:type="dxa"/>
          </w:tcPr>
          <w:p w14:paraId="6930A40A" w14:textId="262CC3DD" w:rsidR="00D74680" w:rsidRPr="00B725D2" w:rsidRDefault="00A66BCC"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2.02%</w:t>
            </w:r>
          </w:p>
        </w:tc>
        <w:tc>
          <w:tcPr>
            <w:tcW w:w="1418" w:type="dxa"/>
          </w:tcPr>
          <w:p w14:paraId="0A1202C1" w14:textId="133489F1" w:rsidR="00D74680" w:rsidRPr="00B725D2" w:rsidRDefault="00EA1F84"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1.14%</w:t>
            </w:r>
          </w:p>
        </w:tc>
        <w:tc>
          <w:tcPr>
            <w:tcW w:w="1417" w:type="dxa"/>
            <w:shd w:val="clear" w:color="auto" w:fill="F7CAAC" w:themeFill="accent2" w:themeFillTint="66"/>
          </w:tcPr>
          <w:p w14:paraId="700067E6" w14:textId="521EE8F8" w:rsidR="00D74680" w:rsidRPr="00B725D2" w:rsidRDefault="00EA1F84"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- 2.70%</w:t>
            </w:r>
          </w:p>
        </w:tc>
        <w:tc>
          <w:tcPr>
            <w:tcW w:w="1418" w:type="dxa"/>
            <w:shd w:val="clear" w:color="auto" w:fill="F7CAAC" w:themeFill="accent2" w:themeFillTint="66"/>
          </w:tcPr>
          <w:p w14:paraId="5A9ECED3" w14:textId="05E0DC42" w:rsidR="00D74680" w:rsidRPr="00B725D2" w:rsidRDefault="00EA1F84"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- 1.03%</w:t>
            </w:r>
          </w:p>
        </w:tc>
        <w:tc>
          <w:tcPr>
            <w:tcW w:w="1417" w:type="dxa"/>
            <w:shd w:val="clear" w:color="auto" w:fill="F7CAAC" w:themeFill="accent2" w:themeFillTint="66"/>
          </w:tcPr>
          <w:p w14:paraId="197160A0" w14:textId="19CD646D" w:rsidR="00D74680" w:rsidRPr="00B725D2" w:rsidRDefault="00EA1F84" w:rsidP="00582561">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- 10.23%</w:t>
            </w:r>
          </w:p>
        </w:tc>
      </w:tr>
      <w:tr w:rsidR="00A779D2" w14:paraId="1C26ACBE" w14:textId="77777777" w:rsidTr="00852941">
        <w:tc>
          <w:tcPr>
            <w:tcW w:w="1701" w:type="dxa"/>
          </w:tcPr>
          <w:p w14:paraId="3B504D58" w14:textId="1BC2E077"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2016</w:t>
            </w:r>
          </w:p>
        </w:tc>
        <w:tc>
          <w:tcPr>
            <w:tcW w:w="1559" w:type="dxa"/>
            <w:shd w:val="clear" w:color="auto" w:fill="F7CAAC" w:themeFill="accent2" w:themeFillTint="66"/>
          </w:tcPr>
          <w:p w14:paraId="12B40522" w14:textId="0337157F"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- 3.74%</w:t>
            </w:r>
          </w:p>
        </w:tc>
        <w:tc>
          <w:tcPr>
            <w:tcW w:w="1418" w:type="dxa"/>
            <w:shd w:val="clear" w:color="auto" w:fill="F7CAAC" w:themeFill="accent2" w:themeFillTint="66"/>
          </w:tcPr>
          <w:p w14:paraId="1F35ACDD" w14:textId="6A769B36"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- 3.74%</w:t>
            </w:r>
          </w:p>
        </w:tc>
        <w:tc>
          <w:tcPr>
            <w:tcW w:w="1417" w:type="dxa"/>
            <w:shd w:val="clear" w:color="auto" w:fill="F7CAAC" w:themeFill="accent2" w:themeFillTint="66"/>
          </w:tcPr>
          <w:p w14:paraId="69356702" w14:textId="53764380"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- 3.74%</w:t>
            </w:r>
          </w:p>
        </w:tc>
        <w:tc>
          <w:tcPr>
            <w:tcW w:w="1418" w:type="dxa"/>
            <w:shd w:val="clear" w:color="auto" w:fill="F7CAAC" w:themeFill="accent2" w:themeFillTint="66"/>
          </w:tcPr>
          <w:p w14:paraId="40BDB7EE" w14:textId="77756652"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- 3.74%</w:t>
            </w:r>
          </w:p>
        </w:tc>
        <w:tc>
          <w:tcPr>
            <w:tcW w:w="1417" w:type="dxa"/>
            <w:shd w:val="clear" w:color="auto" w:fill="F7CAAC" w:themeFill="accent2" w:themeFillTint="66"/>
          </w:tcPr>
          <w:p w14:paraId="4945F722" w14:textId="21E559DF"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- 3.74%</w:t>
            </w:r>
          </w:p>
        </w:tc>
      </w:tr>
      <w:tr w:rsidR="00A779D2" w14:paraId="47B073E3" w14:textId="77777777" w:rsidTr="00852941">
        <w:tc>
          <w:tcPr>
            <w:tcW w:w="1701" w:type="dxa"/>
          </w:tcPr>
          <w:p w14:paraId="12BDC340" w14:textId="60314DEB"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2017</w:t>
            </w:r>
          </w:p>
        </w:tc>
        <w:tc>
          <w:tcPr>
            <w:tcW w:w="1559" w:type="dxa"/>
            <w:shd w:val="clear" w:color="auto" w:fill="F7CAAC" w:themeFill="accent2" w:themeFillTint="66"/>
          </w:tcPr>
          <w:p w14:paraId="14F83A01" w14:textId="29A32D32"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- 5.85%</w:t>
            </w:r>
          </w:p>
        </w:tc>
        <w:tc>
          <w:tcPr>
            <w:tcW w:w="1418" w:type="dxa"/>
            <w:shd w:val="clear" w:color="auto" w:fill="F7CAAC" w:themeFill="accent2" w:themeFillTint="66"/>
          </w:tcPr>
          <w:p w14:paraId="11D60458" w14:textId="5D4D54CD"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- 5.85%</w:t>
            </w:r>
          </w:p>
        </w:tc>
        <w:tc>
          <w:tcPr>
            <w:tcW w:w="1417" w:type="dxa"/>
            <w:shd w:val="clear" w:color="auto" w:fill="F7CAAC" w:themeFill="accent2" w:themeFillTint="66"/>
          </w:tcPr>
          <w:p w14:paraId="5A715E7D" w14:textId="0C3B52E6"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- 5.85%</w:t>
            </w:r>
          </w:p>
        </w:tc>
        <w:tc>
          <w:tcPr>
            <w:tcW w:w="1418" w:type="dxa"/>
            <w:shd w:val="clear" w:color="auto" w:fill="F7CAAC" w:themeFill="accent2" w:themeFillTint="66"/>
          </w:tcPr>
          <w:p w14:paraId="4A42B5EE" w14:textId="442F6E68"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- 5.85%</w:t>
            </w:r>
          </w:p>
        </w:tc>
        <w:tc>
          <w:tcPr>
            <w:tcW w:w="1417" w:type="dxa"/>
            <w:shd w:val="clear" w:color="auto" w:fill="F7CAAC" w:themeFill="accent2" w:themeFillTint="66"/>
          </w:tcPr>
          <w:p w14:paraId="7C4A411A" w14:textId="2AB78D1A"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- 5.85%</w:t>
            </w:r>
          </w:p>
        </w:tc>
      </w:tr>
      <w:tr w:rsidR="00A779D2" w14:paraId="4FD58D7B" w14:textId="77777777" w:rsidTr="00852941">
        <w:tc>
          <w:tcPr>
            <w:tcW w:w="1701" w:type="dxa"/>
          </w:tcPr>
          <w:p w14:paraId="575AA59A" w14:textId="575211CA"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2018</w:t>
            </w:r>
          </w:p>
        </w:tc>
        <w:tc>
          <w:tcPr>
            <w:tcW w:w="1559" w:type="dxa"/>
            <w:shd w:val="clear" w:color="auto" w:fill="F7CAAC" w:themeFill="accent2" w:themeFillTint="66"/>
          </w:tcPr>
          <w:p w14:paraId="4B8FF27D" w14:textId="4F2E3F30"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- 6.26%</w:t>
            </w:r>
          </w:p>
        </w:tc>
        <w:tc>
          <w:tcPr>
            <w:tcW w:w="1418" w:type="dxa"/>
            <w:shd w:val="clear" w:color="auto" w:fill="F7CAAC" w:themeFill="accent2" w:themeFillTint="66"/>
          </w:tcPr>
          <w:p w14:paraId="6C5694AD" w14:textId="7600707B"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- 3.74%</w:t>
            </w:r>
          </w:p>
        </w:tc>
        <w:tc>
          <w:tcPr>
            <w:tcW w:w="1417" w:type="dxa"/>
            <w:shd w:val="clear" w:color="auto" w:fill="F7CAAC" w:themeFill="accent2" w:themeFillTint="66"/>
          </w:tcPr>
          <w:p w14:paraId="5092A6EF" w14:textId="12C961E3"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- 3.74%</w:t>
            </w:r>
          </w:p>
        </w:tc>
        <w:tc>
          <w:tcPr>
            <w:tcW w:w="1418" w:type="dxa"/>
            <w:shd w:val="clear" w:color="auto" w:fill="F7CAAC" w:themeFill="accent2" w:themeFillTint="66"/>
          </w:tcPr>
          <w:p w14:paraId="251B02DB" w14:textId="497AF80F"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- 3.74%</w:t>
            </w:r>
          </w:p>
        </w:tc>
        <w:tc>
          <w:tcPr>
            <w:tcW w:w="1417" w:type="dxa"/>
            <w:shd w:val="clear" w:color="auto" w:fill="F7CAAC" w:themeFill="accent2" w:themeFillTint="66"/>
          </w:tcPr>
          <w:p w14:paraId="184951D8" w14:textId="28120FFE"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- 3.74%</w:t>
            </w:r>
          </w:p>
        </w:tc>
      </w:tr>
      <w:tr w:rsidR="00A779D2" w14:paraId="65815056" w14:textId="77777777" w:rsidTr="00852941">
        <w:tc>
          <w:tcPr>
            <w:tcW w:w="1701" w:type="dxa"/>
          </w:tcPr>
          <w:p w14:paraId="4EA1827F" w14:textId="1E8D1AFB"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2019</w:t>
            </w:r>
          </w:p>
        </w:tc>
        <w:tc>
          <w:tcPr>
            <w:tcW w:w="1559" w:type="dxa"/>
            <w:shd w:val="clear" w:color="auto" w:fill="F7CAAC" w:themeFill="accent2" w:themeFillTint="66"/>
          </w:tcPr>
          <w:p w14:paraId="251821AC" w14:textId="750D79EB"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- 7.39%</w:t>
            </w:r>
          </w:p>
        </w:tc>
        <w:tc>
          <w:tcPr>
            <w:tcW w:w="1418" w:type="dxa"/>
            <w:shd w:val="clear" w:color="auto" w:fill="F7CAAC" w:themeFill="accent2" w:themeFillTint="66"/>
          </w:tcPr>
          <w:p w14:paraId="29D08DAA" w14:textId="2990F53B"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- 5.85%</w:t>
            </w:r>
          </w:p>
        </w:tc>
        <w:tc>
          <w:tcPr>
            <w:tcW w:w="1417" w:type="dxa"/>
            <w:shd w:val="clear" w:color="auto" w:fill="F7CAAC" w:themeFill="accent2" w:themeFillTint="66"/>
          </w:tcPr>
          <w:p w14:paraId="40D785DB" w14:textId="3801BCB9"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- 5.85%</w:t>
            </w:r>
          </w:p>
        </w:tc>
        <w:tc>
          <w:tcPr>
            <w:tcW w:w="1418" w:type="dxa"/>
            <w:shd w:val="clear" w:color="auto" w:fill="F7CAAC" w:themeFill="accent2" w:themeFillTint="66"/>
          </w:tcPr>
          <w:p w14:paraId="2736E6E5" w14:textId="2F75FAFD"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- 5.85%</w:t>
            </w:r>
          </w:p>
        </w:tc>
        <w:tc>
          <w:tcPr>
            <w:tcW w:w="1417" w:type="dxa"/>
            <w:shd w:val="clear" w:color="auto" w:fill="F7CAAC" w:themeFill="accent2" w:themeFillTint="66"/>
          </w:tcPr>
          <w:p w14:paraId="0044ABD9" w14:textId="05AFC8AE"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- 5.85%</w:t>
            </w:r>
          </w:p>
        </w:tc>
      </w:tr>
      <w:tr w:rsidR="00A779D2" w14:paraId="6DFE1412" w14:textId="77777777" w:rsidTr="00852941">
        <w:tc>
          <w:tcPr>
            <w:tcW w:w="1701" w:type="dxa"/>
          </w:tcPr>
          <w:p w14:paraId="2CF3EF67" w14:textId="00447710"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2020</w:t>
            </w:r>
          </w:p>
        </w:tc>
        <w:tc>
          <w:tcPr>
            <w:tcW w:w="1559" w:type="dxa"/>
            <w:shd w:val="clear" w:color="auto" w:fill="F7CAAC" w:themeFill="accent2" w:themeFillTint="66"/>
          </w:tcPr>
          <w:p w14:paraId="25340375" w14:textId="35EECDB8"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xml:space="preserve">- </w:t>
            </w:r>
            <w:r w:rsidR="00156B55" w:rsidRPr="00B725D2">
              <w:rPr>
                <w:rStyle w:val="eop"/>
                <w:rFonts w:ascii="Century Gothic" w:hAnsi="Century Gothic"/>
                <w:sz w:val="22"/>
                <w:szCs w:val="22"/>
              </w:rPr>
              <w:t>8</w:t>
            </w:r>
            <w:r w:rsidRPr="00B725D2">
              <w:rPr>
                <w:rStyle w:val="eop"/>
                <w:rFonts w:ascii="Century Gothic" w:hAnsi="Century Gothic"/>
                <w:sz w:val="22"/>
                <w:szCs w:val="22"/>
              </w:rPr>
              <w:t>.</w:t>
            </w:r>
            <w:r w:rsidR="00156B55" w:rsidRPr="00B725D2">
              <w:rPr>
                <w:rStyle w:val="eop"/>
                <w:rFonts w:ascii="Century Gothic" w:hAnsi="Century Gothic"/>
                <w:sz w:val="22"/>
                <w:szCs w:val="22"/>
              </w:rPr>
              <w:t>25</w:t>
            </w:r>
            <w:r w:rsidRPr="00B725D2">
              <w:rPr>
                <w:rStyle w:val="eop"/>
                <w:rFonts w:ascii="Century Gothic" w:hAnsi="Century Gothic"/>
                <w:sz w:val="22"/>
                <w:szCs w:val="22"/>
              </w:rPr>
              <w:t>%</w:t>
            </w:r>
          </w:p>
        </w:tc>
        <w:tc>
          <w:tcPr>
            <w:tcW w:w="1418" w:type="dxa"/>
            <w:shd w:val="clear" w:color="auto" w:fill="F7CAAC" w:themeFill="accent2" w:themeFillTint="66"/>
          </w:tcPr>
          <w:p w14:paraId="57756C74" w14:textId="194F82E0"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- 3.74%</w:t>
            </w:r>
          </w:p>
        </w:tc>
        <w:tc>
          <w:tcPr>
            <w:tcW w:w="1417" w:type="dxa"/>
            <w:shd w:val="clear" w:color="auto" w:fill="F7CAAC" w:themeFill="accent2" w:themeFillTint="66"/>
          </w:tcPr>
          <w:p w14:paraId="4ECE8CE2" w14:textId="7FBBCF96"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- 3.74%</w:t>
            </w:r>
          </w:p>
        </w:tc>
        <w:tc>
          <w:tcPr>
            <w:tcW w:w="1418" w:type="dxa"/>
            <w:shd w:val="clear" w:color="auto" w:fill="F7CAAC" w:themeFill="accent2" w:themeFillTint="66"/>
          </w:tcPr>
          <w:p w14:paraId="64FFA5C6" w14:textId="65DFD987"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- 3.74%</w:t>
            </w:r>
          </w:p>
        </w:tc>
        <w:tc>
          <w:tcPr>
            <w:tcW w:w="1417" w:type="dxa"/>
            <w:shd w:val="clear" w:color="auto" w:fill="F7CAAC" w:themeFill="accent2" w:themeFillTint="66"/>
          </w:tcPr>
          <w:p w14:paraId="3E877772" w14:textId="2E44B382"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- 3.74%</w:t>
            </w:r>
          </w:p>
        </w:tc>
      </w:tr>
      <w:tr w:rsidR="00A779D2" w14:paraId="1F004851" w14:textId="77777777" w:rsidTr="00852941">
        <w:tc>
          <w:tcPr>
            <w:tcW w:w="1701" w:type="dxa"/>
          </w:tcPr>
          <w:p w14:paraId="4754F791" w14:textId="4579EAD5"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2021</w:t>
            </w:r>
          </w:p>
        </w:tc>
        <w:tc>
          <w:tcPr>
            <w:tcW w:w="1559" w:type="dxa"/>
            <w:shd w:val="clear" w:color="auto" w:fill="F7CAAC" w:themeFill="accent2" w:themeFillTint="66"/>
          </w:tcPr>
          <w:p w14:paraId="21AA476D" w14:textId="5A05FA12"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xml:space="preserve">- </w:t>
            </w:r>
            <w:r w:rsidR="00156B55" w:rsidRPr="00B725D2">
              <w:rPr>
                <w:rStyle w:val="eop"/>
                <w:rFonts w:ascii="Century Gothic" w:hAnsi="Century Gothic"/>
                <w:sz w:val="22"/>
                <w:szCs w:val="22"/>
              </w:rPr>
              <w:t>7</w:t>
            </w:r>
            <w:r w:rsidRPr="00B725D2">
              <w:rPr>
                <w:rStyle w:val="eop"/>
                <w:rFonts w:ascii="Century Gothic" w:hAnsi="Century Gothic"/>
                <w:sz w:val="22"/>
                <w:szCs w:val="22"/>
              </w:rPr>
              <w:t>.</w:t>
            </w:r>
            <w:r w:rsidR="00156B55" w:rsidRPr="00B725D2">
              <w:rPr>
                <w:rStyle w:val="eop"/>
                <w:rFonts w:ascii="Century Gothic" w:hAnsi="Century Gothic"/>
                <w:sz w:val="22"/>
                <w:szCs w:val="22"/>
              </w:rPr>
              <w:t>43</w:t>
            </w:r>
            <w:r w:rsidRPr="00B725D2">
              <w:rPr>
                <w:rStyle w:val="eop"/>
                <w:rFonts w:ascii="Century Gothic" w:hAnsi="Century Gothic"/>
                <w:sz w:val="22"/>
                <w:szCs w:val="22"/>
              </w:rPr>
              <w:t>%</w:t>
            </w:r>
          </w:p>
        </w:tc>
        <w:tc>
          <w:tcPr>
            <w:tcW w:w="1418" w:type="dxa"/>
            <w:shd w:val="clear" w:color="auto" w:fill="F7CAAC" w:themeFill="accent2" w:themeFillTint="66"/>
          </w:tcPr>
          <w:p w14:paraId="1C82DA98" w14:textId="6D6C3579"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- 5.85%</w:t>
            </w:r>
          </w:p>
        </w:tc>
        <w:tc>
          <w:tcPr>
            <w:tcW w:w="1417" w:type="dxa"/>
            <w:shd w:val="clear" w:color="auto" w:fill="F7CAAC" w:themeFill="accent2" w:themeFillTint="66"/>
          </w:tcPr>
          <w:p w14:paraId="6308C352" w14:textId="1C7B2DEB"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- 5.85%</w:t>
            </w:r>
          </w:p>
        </w:tc>
        <w:tc>
          <w:tcPr>
            <w:tcW w:w="1418" w:type="dxa"/>
            <w:shd w:val="clear" w:color="auto" w:fill="F7CAAC" w:themeFill="accent2" w:themeFillTint="66"/>
          </w:tcPr>
          <w:p w14:paraId="623A1347" w14:textId="08EFF472"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- 5.85%</w:t>
            </w:r>
          </w:p>
        </w:tc>
        <w:tc>
          <w:tcPr>
            <w:tcW w:w="1417" w:type="dxa"/>
            <w:shd w:val="clear" w:color="auto" w:fill="F7CAAC" w:themeFill="accent2" w:themeFillTint="66"/>
          </w:tcPr>
          <w:p w14:paraId="6902799C" w14:textId="5AC61262" w:rsidR="00A66BCC" w:rsidRPr="00B725D2" w:rsidRDefault="00A66BCC" w:rsidP="00A66BCC">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- 5.85%</w:t>
            </w:r>
          </w:p>
        </w:tc>
      </w:tr>
      <w:tr w:rsidR="00A779D2" w14:paraId="3D6215B3" w14:textId="77777777" w:rsidTr="00852941">
        <w:tc>
          <w:tcPr>
            <w:tcW w:w="1701" w:type="dxa"/>
          </w:tcPr>
          <w:p w14:paraId="68E2FB74" w14:textId="7B198696" w:rsidR="007D0755" w:rsidRPr="00B725D2" w:rsidRDefault="007D0755" w:rsidP="007D0755">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2022</w:t>
            </w:r>
          </w:p>
        </w:tc>
        <w:tc>
          <w:tcPr>
            <w:tcW w:w="1559" w:type="dxa"/>
            <w:shd w:val="clear" w:color="auto" w:fill="F7CAAC" w:themeFill="accent2" w:themeFillTint="66"/>
          </w:tcPr>
          <w:p w14:paraId="66D57B89" w14:textId="4C5E7328" w:rsidR="007D0755" w:rsidRPr="00B725D2" w:rsidRDefault="007D0755" w:rsidP="007D0755">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- 6.25%</w:t>
            </w:r>
          </w:p>
        </w:tc>
        <w:tc>
          <w:tcPr>
            <w:tcW w:w="1418" w:type="dxa"/>
            <w:shd w:val="clear" w:color="auto" w:fill="F7CAAC" w:themeFill="accent2" w:themeFillTint="66"/>
          </w:tcPr>
          <w:p w14:paraId="26F13447" w14:textId="744342F0" w:rsidR="007D0755" w:rsidRPr="00B725D2" w:rsidRDefault="007D0755" w:rsidP="007D0755">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- 6.25%</w:t>
            </w:r>
          </w:p>
        </w:tc>
        <w:tc>
          <w:tcPr>
            <w:tcW w:w="1417" w:type="dxa"/>
            <w:shd w:val="clear" w:color="auto" w:fill="F7CAAC" w:themeFill="accent2" w:themeFillTint="66"/>
          </w:tcPr>
          <w:p w14:paraId="0E6F44CA" w14:textId="6DB3EB1C" w:rsidR="007D0755" w:rsidRPr="00B725D2" w:rsidRDefault="007D0755" w:rsidP="007D0755">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- 6.25%</w:t>
            </w:r>
          </w:p>
        </w:tc>
        <w:tc>
          <w:tcPr>
            <w:tcW w:w="1418" w:type="dxa"/>
            <w:shd w:val="clear" w:color="auto" w:fill="F7CAAC" w:themeFill="accent2" w:themeFillTint="66"/>
          </w:tcPr>
          <w:p w14:paraId="5DAEA750" w14:textId="469AA373" w:rsidR="007D0755" w:rsidRPr="00B725D2" w:rsidRDefault="007D0755" w:rsidP="007D0755">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- 6.25%</w:t>
            </w:r>
          </w:p>
        </w:tc>
        <w:tc>
          <w:tcPr>
            <w:tcW w:w="1417" w:type="dxa"/>
            <w:shd w:val="clear" w:color="auto" w:fill="F7CAAC" w:themeFill="accent2" w:themeFillTint="66"/>
          </w:tcPr>
          <w:p w14:paraId="10558F2B" w14:textId="252D2156" w:rsidR="007D0755" w:rsidRPr="00B725D2" w:rsidRDefault="007D0755" w:rsidP="007D0755">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- 6.25%</w:t>
            </w:r>
          </w:p>
        </w:tc>
      </w:tr>
      <w:tr w:rsidR="00A779D2" w14:paraId="5A971849" w14:textId="77777777" w:rsidTr="00852941">
        <w:tc>
          <w:tcPr>
            <w:tcW w:w="1701" w:type="dxa"/>
          </w:tcPr>
          <w:p w14:paraId="76E74CE4" w14:textId="48F02E47" w:rsidR="00156B55" w:rsidRPr="00B725D2" w:rsidRDefault="00156B55" w:rsidP="00156B55">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2023</w:t>
            </w:r>
          </w:p>
        </w:tc>
        <w:tc>
          <w:tcPr>
            <w:tcW w:w="1559" w:type="dxa"/>
          </w:tcPr>
          <w:p w14:paraId="227DB101" w14:textId="193029BD" w:rsidR="00156B55" w:rsidRPr="00B725D2" w:rsidRDefault="00156B55" w:rsidP="00156B55">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1.77%</w:t>
            </w:r>
          </w:p>
        </w:tc>
        <w:tc>
          <w:tcPr>
            <w:tcW w:w="1418" w:type="dxa"/>
          </w:tcPr>
          <w:p w14:paraId="4AFC35AD" w14:textId="3261EAA6" w:rsidR="00156B55" w:rsidRPr="00B725D2" w:rsidRDefault="00156B55" w:rsidP="00156B55">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1.77%</w:t>
            </w:r>
          </w:p>
        </w:tc>
        <w:tc>
          <w:tcPr>
            <w:tcW w:w="1417" w:type="dxa"/>
          </w:tcPr>
          <w:p w14:paraId="48A3FE2C" w14:textId="7D9BA4EA" w:rsidR="00156B55" w:rsidRPr="00B725D2" w:rsidRDefault="00156B55" w:rsidP="00156B55">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1.77%</w:t>
            </w:r>
          </w:p>
        </w:tc>
        <w:tc>
          <w:tcPr>
            <w:tcW w:w="1418" w:type="dxa"/>
          </w:tcPr>
          <w:p w14:paraId="565AAD08" w14:textId="01D754AE" w:rsidR="00156B55" w:rsidRPr="00B725D2" w:rsidRDefault="00156B55" w:rsidP="00156B55">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1.77%</w:t>
            </w:r>
          </w:p>
        </w:tc>
        <w:tc>
          <w:tcPr>
            <w:tcW w:w="1417" w:type="dxa"/>
            <w:shd w:val="clear" w:color="auto" w:fill="FFFFFF" w:themeFill="background1"/>
          </w:tcPr>
          <w:p w14:paraId="6FACFDF2" w14:textId="4D82D878" w:rsidR="00156B55" w:rsidRPr="00B725D2" w:rsidRDefault="00156B55" w:rsidP="00156B55">
            <w:pPr>
              <w:pStyle w:val="paragraph"/>
              <w:spacing w:before="0" w:beforeAutospacing="0" w:after="0" w:afterAutospacing="0" w:line="276" w:lineRule="auto"/>
              <w:jc w:val="center"/>
              <w:textAlignment w:val="baseline"/>
              <w:rPr>
                <w:rStyle w:val="eop"/>
                <w:rFonts w:ascii="Century Gothic" w:hAnsi="Century Gothic"/>
                <w:sz w:val="22"/>
                <w:szCs w:val="22"/>
              </w:rPr>
            </w:pPr>
            <w:r w:rsidRPr="00B725D2">
              <w:rPr>
                <w:rStyle w:val="eop"/>
                <w:rFonts w:ascii="Century Gothic" w:hAnsi="Century Gothic"/>
                <w:sz w:val="22"/>
                <w:szCs w:val="22"/>
              </w:rPr>
              <w:t>1.77%</w:t>
            </w:r>
          </w:p>
        </w:tc>
      </w:tr>
    </w:tbl>
    <w:p w14:paraId="70A5CE41" w14:textId="77777777" w:rsidR="00F65EBD" w:rsidRDefault="00F368BE" w:rsidP="00F65EBD">
      <w:pPr>
        <w:pStyle w:val="paragraph"/>
        <w:spacing w:before="0" w:beforeAutospacing="0" w:after="0" w:afterAutospacing="0" w:line="276" w:lineRule="auto"/>
        <w:jc w:val="both"/>
        <w:textAlignment w:val="baseline"/>
        <w:rPr>
          <w:rStyle w:val="eop"/>
          <w:rFonts w:ascii="Century Gothic" w:hAnsi="Century Gothic"/>
          <w:sz w:val="20"/>
          <w:szCs w:val="20"/>
        </w:rPr>
      </w:pPr>
      <w:r w:rsidRPr="00F368BE">
        <w:rPr>
          <w:rStyle w:val="eop"/>
          <w:rFonts w:ascii="Century Gothic" w:hAnsi="Century Gothic"/>
          <w:sz w:val="20"/>
          <w:szCs w:val="20"/>
        </w:rPr>
        <w:t>Fuente: Departamento Actuarial, Junta de Pensiones y Jubilaciones del Magisterio Nacional. JUPEMA.</w:t>
      </w:r>
    </w:p>
    <w:p w14:paraId="5BED56D9" w14:textId="77777777" w:rsidR="00F65EBD" w:rsidRDefault="00F65EBD" w:rsidP="00F65EBD">
      <w:pPr>
        <w:pStyle w:val="paragraph"/>
        <w:spacing w:before="0" w:beforeAutospacing="0" w:after="0" w:afterAutospacing="0" w:line="276" w:lineRule="auto"/>
        <w:jc w:val="both"/>
        <w:textAlignment w:val="baseline"/>
        <w:rPr>
          <w:rStyle w:val="eop"/>
          <w:rFonts w:ascii="Century Gothic" w:hAnsi="Century Gothic"/>
          <w:sz w:val="20"/>
          <w:szCs w:val="20"/>
        </w:rPr>
      </w:pPr>
    </w:p>
    <w:p w14:paraId="0D19865B" w14:textId="3128A1CC" w:rsidR="00D4465B" w:rsidRPr="00F65EBD" w:rsidRDefault="00BA0194" w:rsidP="00F65EBD">
      <w:pPr>
        <w:pStyle w:val="paragraph"/>
        <w:spacing w:before="0" w:beforeAutospacing="0" w:after="0" w:afterAutospacing="0" w:line="276" w:lineRule="auto"/>
        <w:jc w:val="both"/>
        <w:textAlignment w:val="baseline"/>
        <w:rPr>
          <w:rStyle w:val="eop"/>
          <w:rFonts w:ascii="Century Gothic" w:hAnsi="Century Gothic"/>
          <w:sz w:val="20"/>
          <w:szCs w:val="20"/>
        </w:rPr>
      </w:pPr>
      <w:r w:rsidRPr="00BA0194">
        <w:rPr>
          <w:rStyle w:val="eop"/>
          <w:rFonts w:ascii="Century Gothic" w:hAnsi="Century Gothic"/>
        </w:rPr>
        <w:t>De acuerdo</w:t>
      </w:r>
      <w:r w:rsidR="00F65EBD" w:rsidRPr="00BA0194">
        <w:rPr>
          <w:rStyle w:val="eop"/>
          <w:rFonts w:ascii="Century Gothic" w:hAnsi="Century Gothic"/>
        </w:rPr>
        <w:t xml:space="preserve"> </w:t>
      </w:r>
      <w:r w:rsidRPr="00BA0194">
        <w:rPr>
          <w:rStyle w:val="eop"/>
          <w:rFonts w:ascii="Century Gothic" w:hAnsi="Century Gothic"/>
        </w:rPr>
        <w:t>con</w:t>
      </w:r>
      <w:r w:rsidR="00F65EBD">
        <w:rPr>
          <w:rStyle w:val="eop"/>
          <w:rFonts w:ascii="Century Gothic" w:hAnsi="Century Gothic"/>
        </w:rPr>
        <w:t xml:space="preserve"> la información</w:t>
      </w:r>
      <w:r w:rsidR="00D4465B">
        <w:rPr>
          <w:rStyle w:val="eop"/>
          <w:rFonts w:ascii="Century Gothic" w:hAnsi="Century Gothic"/>
        </w:rPr>
        <w:t xml:space="preserve"> </w:t>
      </w:r>
      <w:r w:rsidR="00F65EBD">
        <w:rPr>
          <w:rStyle w:val="eop"/>
          <w:rFonts w:ascii="Century Gothic" w:hAnsi="Century Gothic"/>
        </w:rPr>
        <w:t>d</w:t>
      </w:r>
      <w:r w:rsidR="00AD4D33">
        <w:rPr>
          <w:rStyle w:val="eop"/>
          <w:rFonts w:ascii="Century Gothic" w:hAnsi="Century Gothic"/>
        </w:rPr>
        <w:t xml:space="preserve">el </w:t>
      </w:r>
      <w:r w:rsidR="00D4465B">
        <w:rPr>
          <w:rStyle w:val="eop"/>
          <w:rFonts w:ascii="Century Gothic" w:hAnsi="Century Gothic"/>
        </w:rPr>
        <w:t>cuadro anterior, se pu</w:t>
      </w:r>
      <w:r w:rsidR="00F65EBD">
        <w:rPr>
          <w:rStyle w:val="eop"/>
          <w:rFonts w:ascii="Century Gothic" w:hAnsi="Century Gothic"/>
        </w:rPr>
        <w:t>ede</w:t>
      </w:r>
      <w:r w:rsidR="00C06E14">
        <w:rPr>
          <w:rStyle w:val="eop"/>
          <w:rFonts w:ascii="Century Gothic" w:hAnsi="Century Gothic"/>
        </w:rPr>
        <w:t xml:space="preserve"> </w:t>
      </w:r>
      <w:r w:rsidR="00F65EBD">
        <w:rPr>
          <w:rStyle w:val="eop"/>
          <w:rFonts w:ascii="Century Gothic" w:hAnsi="Century Gothic"/>
        </w:rPr>
        <w:t xml:space="preserve">observar y </w:t>
      </w:r>
      <w:r w:rsidR="00C06E14">
        <w:rPr>
          <w:rStyle w:val="eop"/>
          <w:rFonts w:ascii="Century Gothic" w:hAnsi="Century Gothic"/>
        </w:rPr>
        <w:t xml:space="preserve">demostrar </w:t>
      </w:r>
      <w:r w:rsidR="00FF3D5E">
        <w:rPr>
          <w:rStyle w:val="eop"/>
          <w:rFonts w:ascii="Century Gothic" w:hAnsi="Century Gothic"/>
        </w:rPr>
        <w:t xml:space="preserve">el deterioro </w:t>
      </w:r>
      <w:r w:rsidR="00F65EBD">
        <w:rPr>
          <w:rStyle w:val="eop"/>
          <w:rFonts w:ascii="Century Gothic" w:hAnsi="Century Gothic"/>
        </w:rPr>
        <w:t xml:space="preserve">que han tenido </w:t>
      </w:r>
      <w:r w:rsidR="00FF3D5E">
        <w:rPr>
          <w:rStyle w:val="eop"/>
          <w:rFonts w:ascii="Century Gothic" w:hAnsi="Century Gothic"/>
        </w:rPr>
        <w:t xml:space="preserve">las pensiones </w:t>
      </w:r>
      <w:r w:rsidR="002E6E3F">
        <w:rPr>
          <w:rStyle w:val="eop"/>
          <w:rFonts w:ascii="Century Gothic" w:hAnsi="Century Gothic"/>
        </w:rPr>
        <w:t>del Régimen Transitorio de Reparto</w:t>
      </w:r>
      <w:r w:rsidR="00C06E14">
        <w:rPr>
          <w:rStyle w:val="eop"/>
          <w:rFonts w:ascii="Century Gothic" w:hAnsi="Century Gothic"/>
        </w:rPr>
        <w:t xml:space="preserve"> de las leyes </w:t>
      </w:r>
      <w:proofErr w:type="spellStart"/>
      <w:r w:rsidR="00C06E14">
        <w:rPr>
          <w:rStyle w:val="eop"/>
          <w:rFonts w:ascii="Century Gothic" w:hAnsi="Century Gothic"/>
        </w:rPr>
        <w:t>N°</w:t>
      </w:r>
      <w:proofErr w:type="spellEnd"/>
      <w:r w:rsidR="00C06E14">
        <w:rPr>
          <w:rStyle w:val="eop"/>
          <w:rFonts w:ascii="Century Gothic" w:hAnsi="Century Gothic"/>
        </w:rPr>
        <w:t xml:space="preserve"> 2248 y 7268 </w:t>
      </w:r>
      <w:r w:rsidR="00FF3D5E">
        <w:rPr>
          <w:rStyle w:val="eop"/>
          <w:rFonts w:ascii="Century Gothic" w:hAnsi="Century Gothic"/>
        </w:rPr>
        <w:t xml:space="preserve">de </w:t>
      </w:r>
      <w:r w:rsidR="00F65EBD">
        <w:rPr>
          <w:rStyle w:val="eop"/>
          <w:rFonts w:ascii="Century Gothic" w:hAnsi="Century Gothic"/>
        </w:rPr>
        <w:t xml:space="preserve">los </w:t>
      </w:r>
      <w:r w:rsidR="00FF3D5E">
        <w:rPr>
          <w:rStyle w:val="eop"/>
          <w:rFonts w:ascii="Century Gothic" w:hAnsi="Century Gothic"/>
        </w:rPr>
        <w:t>funcionarios del MEP desde</w:t>
      </w:r>
      <w:r w:rsidR="00F65EBD">
        <w:rPr>
          <w:rStyle w:val="eop"/>
          <w:rFonts w:ascii="Century Gothic" w:hAnsi="Century Gothic"/>
        </w:rPr>
        <w:t xml:space="preserve"> el </w:t>
      </w:r>
      <w:r w:rsidR="00F65EBD">
        <w:rPr>
          <w:rStyle w:val="eop"/>
          <w:rFonts w:ascii="Century Gothic" w:hAnsi="Century Gothic"/>
        </w:rPr>
        <w:lastRenderedPageBreak/>
        <w:t>año</w:t>
      </w:r>
      <w:r w:rsidR="00FF3D5E">
        <w:rPr>
          <w:rStyle w:val="eop"/>
          <w:rFonts w:ascii="Century Gothic" w:hAnsi="Century Gothic"/>
        </w:rPr>
        <w:t xml:space="preserve"> 1996 hasta </w:t>
      </w:r>
      <w:r w:rsidR="00F65EBD">
        <w:rPr>
          <w:rStyle w:val="eop"/>
          <w:rFonts w:ascii="Century Gothic" w:hAnsi="Century Gothic"/>
        </w:rPr>
        <w:t xml:space="preserve">el año </w:t>
      </w:r>
      <w:r w:rsidR="00FF3D5E">
        <w:rPr>
          <w:rStyle w:val="eop"/>
          <w:rFonts w:ascii="Century Gothic" w:hAnsi="Century Gothic"/>
        </w:rPr>
        <w:t>2022</w:t>
      </w:r>
      <w:r w:rsidR="009C0B6B">
        <w:rPr>
          <w:rStyle w:val="eop"/>
          <w:rFonts w:ascii="Century Gothic" w:hAnsi="Century Gothic"/>
        </w:rPr>
        <w:t>,</w:t>
      </w:r>
      <w:r w:rsidR="00B8688D">
        <w:rPr>
          <w:rStyle w:val="eop"/>
          <w:rFonts w:ascii="Century Gothic" w:hAnsi="Century Gothic"/>
        </w:rPr>
        <w:t xml:space="preserve"> </w:t>
      </w:r>
      <w:r w:rsidR="009C0B6B">
        <w:rPr>
          <w:rStyle w:val="eop"/>
          <w:rFonts w:ascii="Century Gothic" w:hAnsi="Century Gothic"/>
        </w:rPr>
        <w:t>y en l</w:t>
      </w:r>
      <w:r w:rsidR="00B8688D">
        <w:rPr>
          <w:rStyle w:val="eop"/>
          <w:rFonts w:ascii="Century Gothic" w:hAnsi="Century Gothic"/>
        </w:rPr>
        <w:t xml:space="preserve">as pensiones de </w:t>
      </w:r>
      <w:r w:rsidR="000E5392">
        <w:rPr>
          <w:rStyle w:val="eop"/>
          <w:rFonts w:ascii="Century Gothic" w:hAnsi="Century Gothic"/>
        </w:rPr>
        <w:t xml:space="preserve">los </w:t>
      </w:r>
      <w:r w:rsidR="00B8688D">
        <w:rPr>
          <w:rStyle w:val="eop"/>
          <w:rFonts w:ascii="Century Gothic" w:hAnsi="Century Gothic"/>
        </w:rPr>
        <w:t>funcionarios de</w:t>
      </w:r>
      <w:r w:rsidR="009C0B6B">
        <w:rPr>
          <w:rStyle w:val="eop"/>
          <w:rFonts w:ascii="Century Gothic" w:hAnsi="Century Gothic"/>
        </w:rPr>
        <w:t xml:space="preserve"> instituciones de educación superior a partir del año 201</w:t>
      </w:r>
      <w:r w:rsidR="006123C4">
        <w:rPr>
          <w:rStyle w:val="eop"/>
          <w:rFonts w:ascii="Century Gothic" w:hAnsi="Century Gothic"/>
        </w:rPr>
        <w:t xml:space="preserve">5, específicamente </w:t>
      </w:r>
      <w:r w:rsidR="00073285">
        <w:rPr>
          <w:rStyle w:val="eop"/>
          <w:rFonts w:ascii="Century Gothic" w:hAnsi="Century Gothic"/>
        </w:rPr>
        <w:t xml:space="preserve">en </w:t>
      </w:r>
      <w:r w:rsidR="006123C4">
        <w:rPr>
          <w:rStyle w:val="eop"/>
          <w:rFonts w:ascii="Century Gothic" w:hAnsi="Century Gothic"/>
        </w:rPr>
        <w:t xml:space="preserve">la UNED y el </w:t>
      </w:r>
      <w:r w:rsidR="00EF6141">
        <w:rPr>
          <w:rStyle w:val="eop"/>
          <w:rFonts w:ascii="Century Gothic" w:hAnsi="Century Gothic"/>
        </w:rPr>
        <w:t>TEC</w:t>
      </w:r>
      <w:r w:rsidR="000C7B66">
        <w:rPr>
          <w:rStyle w:val="eop"/>
          <w:rFonts w:ascii="Century Gothic" w:hAnsi="Century Gothic"/>
        </w:rPr>
        <w:t xml:space="preserve">, y ya para el año 2016 en todas </w:t>
      </w:r>
      <w:r w:rsidR="00073285">
        <w:rPr>
          <w:rStyle w:val="eop"/>
          <w:rFonts w:ascii="Century Gothic" w:hAnsi="Century Gothic"/>
        </w:rPr>
        <w:t>las demás instituciones universitarias</w:t>
      </w:r>
      <w:r w:rsidR="009C0B6B">
        <w:rPr>
          <w:rStyle w:val="eop"/>
          <w:rFonts w:ascii="Century Gothic" w:hAnsi="Century Gothic"/>
        </w:rPr>
        <w:t>.</w:t>
      </w:r>
    </w:p>
    <w:p w14:paraId="539E3175" w14:textId="57DBA810" w:rsidR="00F20C0C" w:rsidRDefault="00F20C0C" w:rsidP="00F65EBD">
      <w:pPr>
        <w:pStyle w:val="paragraph"/>
        <w:spacing w:line="276" w:lineRule="auto"/>
        <w:jc w:val="both"/>
        <w:textAlignment w:val="baseline"/>
        <w:rPr>
          <w:rStyle w:val="eop"/>
          <w:rFonts w:ascii="Century Gothic" w:hAnsi="Century Gothic"/>
        </w:rPr>
      </w:pPr>
      <w:r w:rsidRPr="00F20C0C">
        <w:rPr>
          <w:rStyle w:val="eop"/>
          <w:rFonts w:ascii="Century Gothic" w:hAnsi="Century Gothic"/>
        </w:rPr>
        <w:t>Es importante tener en consideración que</w:t>
      </w:r>
      <w:r w:rsidR="00620B12">
        <w:rPr>
          <w:rStyle w:val="eop"/>
          <w:rFonts w:ascii="Century Gothic" w:hAnsi="Century Gothic"/>
        </w:rPr>
        <w:t>,</w:t>
      </w:r>
      <w:r w:rsidRPr="00F20C0C">
        <w:rPr>
          <w:rStyle w:val="eop"/>
          <w:rFonts w:ascii="Century Gothic" w:hAnsi="Century Gothic"/>
        </w:rPr>
        <w:t xml:space="preserve"> con la entrada en vigor de la Ley de Fortalecimiento de las Finanzas Públicas</w:t>
      </w:r>
      <w:r w:rsidR="00620B12">
        <w:rPr>
          <w:rStyle w:val="eop"/>
          <w:rFonts w:ascii="Century Gothic" w:hAnsi="Century Gothic"/>
        </w:rPr>
        <w:t xml:space="preserve">, ley 9635, el deterioro ha sido mayor para todos los pensionados con cargo a Hacienda y en el caso magisterial, </w:t>
      </w:r>
      <w:r w:rsidRPr="00F20C0C">
        <w:rPr>
          <w:rStyle w:val="eop"/>
          <w:rFonts w:ascii="Century Gothic" w:hAnsi="Century Gothic"/>
        </w:rPr>
        <w:t xml:space="preserve">para los pensionados de la Ley </w:t>
      </w:r>
      <w:proofErr w:type="spellStart"/>
      <w:r w:rsidRPr="00F20C0C">
        <w:rPr>
          <w:rStyle w:val="eop"/>
          <w:rFonts w:ascii="Century Gothic" w:hAnsi="Century Gothic"/>
        </w:rPr>
        <w:t>N°</w:t>
      </w:r>
      <w:proofErr w:type="spellEnd"/>
      <w:r w:rsidRPr="00F20C0C">
        <w:rPr>
          <w:rStyle w:val="eop"/>
          <w:rFonts w:ascii="Century Gothic" w:hAnsi="Century Gothic"/>
        </w:rPr>
        <w:t xml:space="preserve"> 2248</w:t>
      </w:r>
      <w:r w:rsidR="004E183B">
        <w:rPr>
          <w:rStyle w:val="eop"/>
          <w:rFonts w:ascii="Century Gothic" w:hAnsi="Century Gothic"/>
        </w:rPr>
        <w:t>.</w:t>
      </w:r>
    </w:p>
    <w:p w14:paraId="7BECC67E" w14:textId="4D86B08C" w:rsidR="00115753" w:rsidRDefault="002F0D55" w:rsidP="002E35AA">
      <w:pPr>
        <w:pStyle w:val="paragraph"/>
        <w:spacing w:line="276" w:lineRule="auto"/>
        <w:jc w:val="both"/>
        <w:textAlignment w:val="baseline"/>
        <w:rPr>
          <w:rStyle w:val="eop"/>
          <w:rFonts w:ascii="Century Gothic" w:hAnsi="Century Gothic"/>
        </w:rPr>
      </w:pPr>
      <w:r>
        <w:rPr>
          <w:rStyle w:val="eop"/>
          <w:rFonts w:ascii="Century Gothic" w:hAnsi="Century Gothic"/>
        </w:rPr>
        <w:t>Dada</w:t>
      </w:r>
      <w:r w:rsidR="00115753">
        <w:rPr>
          <w:rStyle w:val="eop"/>
          <w:rFonts w:ascii="Century Gothic" w:hAnsi="Century Gothic"/>
        </w:rPr>
        <w:t xml:space="preserve"> la situación anterior, </w:t>
      </w:r>
      <w:r w:rsidR="006665D1">
        <w:rPr>
          <w:rStyle w:val="eop"/>
          <w:rFonts w:ascii="Century Gothic" w:hAnsi="Century Gothic"/>
        </w:rPr>
        <w:t>el pasado 3</w:t>
      </w:r>
      <w:r w:rsidR="00143E6A">
        <w:rPr>
          <w:rStyle w:val="eop"/>
          <w:rFonts w:ascii="Century Gothic" w:hAnsi="Century Gothic"/>
        </w:rPr>
        <w:t>0</w:t>
      </w:r>
      <w:r w:rsidR="006665D1">
        <w:rPr>
          <w:rStyle w:val="eop"/>
          <w:rFonts w:ascii="Century Gothic" w:hAnsi="Century Gothic"/>
        </w:rPr>
        <w:t xml:space="preserve"> de mayo 2024 </w:t>
      </w:r>
      <w:r w:rsidR="00B00603">
        <w:rPr>
          <w:rStyle w:val="eop"/>
          <w:rFonts w:ascii="Century Gothic" w:hAnsi="Century Gothic"/>
        </w:rPr>
        <w:t>miembros de diferentes organizaciones magisteriales</w:t>
      </w:r>
      <w:r w:rsidR="00A56006">
        <w:rPr>
          <w:rStyle w:val="eop"/>
          <w:rFonts w:ascii="Century Gothic" w:hAnsi="Century Gothic"/>
        </w:rPr>
        <w:t xml:space="preserve"> </w:t>
      </w:r>
      <w:r w:rsidR="006665D1">
        <w:rPr>
          <w:rStyle w:val="eop"/>
          <w:rFonts w:ascii="Century Gothic" w:hAnsi="Century Gothic"/>
        </w:rPr>
        <w:t>present</w:t>
      </w:r>
      <w:r w:rsidR="00A56006">
        <w:rPr>
          <w:rStyle w:val="eop"/>
          <w:rFonts w:ascii="Century Gothic" w:hAnsi="Century Gothic"/>
        </w:rPr>
        <w:t>aron</w:t>
      </w:r>
      <w:r w:rsidR="006665D1">
        <w:rPr>
          <w:rStyle w:val="eop"/>
          <w:rFonts w:ascii="Century Gothic" w:hAnsi="Century Gothic"/>
        </w:rPr>
        <w:t xml:space="preserve"> </w:t>
      </w:r>
      <w:r>
        <w:rPr>
          <w:rStyle w:val="eop"/>
          <w:rFonts w:ascii="Century Gothic" w:hAnsi="Century Gothic"/>
        </w:rPr>
        <w:t>ante la Asamblea Legislativa</w:t>
      </w:r>
      <w:r w:rsidR="00620B12">
        <w:rPr>
          <w:rStyle w:val="eop"/>
          <w:rFonts w:ascii="Century Gothic" w:hAnsi="Century Gothic"/>
        </w:rPr>
        <w:t>,</w:t>
      </w:r>
      <w:r>
        <w:rPr>
          <w:rStyle w:val="eop"/>
          <w:rFonts w:ascii="Century Gothic" w:hAnsi="Century Gothic"/>
        </w:rPr>
        <w:t xml:space="preserve"> </w:t>
      </w:r>
      <w:r w:rsidR="00B54BA9">
        <w:rPr>
          <w:rStyle w:val="eop"/>
          <w:rFonts w:ascii="Century Gothic" w:hAnsi="Century Gothic"/>
        </w:rPr>
        <w:t xml:space="preserve">a través del diputado </w:t>
      </w:r>
      <w:r w:rsidR="00ED519C">
        <w:rPr>
          <w:rStyle w:val="eop"/>
          <w:rFonts w:ascii="Century Gothic" w:hAnsi="Century Gothic"/>
        </w:rPr>
        <w:t xml:space="preserve">Jonathan Acuña Soto, de la Fracción Frente Amplio, </w:t>
      </w:r>
      <w:r w:rsidR="006665D1">
        <w:rPr>
          <w:rStyle w:val="eop"/>
          <w:rFonts w:ascii="Century Gothic" w:hAnsi="Century Gothic"/>
        </w:rPr>
        <w:t>un proyecto de ley</w:t>
      </w:r>
      <w:r w:rsidR="00171585">
        <w:rPr>
          <w:rStyle w:val="eop"/>
          <w:rFonts w:ascii="Century Gothic" w:hAnsi="Century Gothic"/>
        </w:rPr>
        <w:t xml:space="preserve"> que permita descongelar los aumentos en los montos de </w:t>
      </w:r>
      <w:r w:rsidR="001440D6">
        <w:rPr>
          <w:rStyle w:val="eop"/>
          <w:rFonts w:ascii="Century Gothic" w:hAnsi="Century Gothic"/>
        </w:rPr>
        <w:t>las pensiones del Régimen Transitorio de Reparto (RTR)</w:t>
      </w:r>
      <w:r w:rsidR="00FA0AB5">
        <w:rPr>
          <w:rStyle w:val="eop"/>
          <w:rFonts w:ascii="Century Gothic" w:hAnsi="Century Gothic"/>
        </w:rPr>
        <w:t xml:space="preserve"> otorgadas al amparo de las leyes 2248 y 7268</w:t>
      </w:r>
      <w:r w:rsidR="00620B12">
        <w:rPr>
          <w:rStyle w:val="eop"/>
          <w:rFonts w:ascii="Century Gothic" w:hAnsi="Century Gothic"/>
        </w:rPr>
        <w:t xml:space="preserve"> y congeladas con la regla fiscal de la ley 9635</w:t>
      </w:r>
      <w:r w:rsidR="00FA0AB5">
        <w:rPr>
          <w:rStyle w:val="eop"/>
          <w:rFonts w:ascii="Century Gothic" w:hAnsi="Century Gothic"/>
        </w:rPr>
        <w:t>.</w:t>
      </w:r>
      <w:r w:rsidR="00171585">
        <w:rPr>
          <w:rStyle w:val="eop"/>
          <w:rFonts w:ascii="Century Gothic" w:hAnsi="Century Gothic"/>
        </w:rPr>
        <w:t xml:space="preserve"> </w:t>
      </w:r>
    </w:p>
    <w:p w14:paraId="4F25A497" w14:textId="18F44611" w:rsidR="00A56006" w:rsidRPr="00BA0194" w:rsidRDefault="00A56006" w:rsidP="002E35AA">
      <w:pPr>
        <w:pStyle w:val="paragraph"/>
        <w:spacing w:line="276" w:lineRule="auto"/>
        <w:jc w:val="both"/>
        <w:textAlignment w:val="baseline"/>
        <w:rPr>
          <w:rStyle w:val="eop"/>
          <w:rFonts w:ascii="Century Gothic" w:hAnsi="Century Gothic"/>
          <w:b/>
          <w:bCs/>
        </w:rPr>
      </w:pPr>
      <w:r w:rsidRPr="00BA0194">
        <w:rPr>
          <w:rStyle w:val="eop"/>
          <w:rFonts w:ascii="Century Gothic" w:hAnsi="Century Gothic"/>
          <w:b/>
          <w:bCs/>
        </w:rPr>
        <w:t>¿En qué consiste este proyecto?</w:t>
      </w:r>
    </w:p>
    <w:p w14:paraId="6F93D883" w14:textId="5E91D183" w:rsidR="006A41CC" w:rsidRDefault="006A41CC" w:rsidP="002E35AA">
      <w:pPr>
        <w:pStyle w:val="paragraph"/>
        <w:spacing w:line="276" w:lineRule="auto"/>
        <w:jc w:val="both"/>
        <w:textAlignment w:val="baseline"/>
        <w:rPr>
          <w:rStyle w:val="eop"/>
          <w:rFonts w:ascii="Century Gothic" w:hAnsi="Century Gothic"/>
        </w:rPr>
      </w:pPr>
      <w:r>
        <w:rPr>
          <w:rStyle w:val="eop"/>
          <w:rFonts w:ascii="Century Gothic" w:hAnsi="Century Gothic"/>
        </w:rPr>
        <w:t>El proyecto de ley pretende una reforma a la redacción del artículo 13 de la Ley de Fortalecimiento de las Finanzas Públicas para que disponga que, cuando no se realicen aumentos salariales por efecto de la regla fiscal, las pensiones otorgadas al amparo de la Ley 2248 y 7268, deberán revalorizarse por el aumento en el costo de la vida en un porcentaje igual al del índice de precios al consumidor (IPC) de modo automático y con periodicidad semestral.</w:t>
      </w:r>
    </w:p>
    <w:p w14:paraId="06103649" w14:textId="67C9CBDF" w:rsidR="00B7536A" w:rsidRPr="00B7536A" w:rsidRDefault="00B7536A" w:rsidP="002E35AA">
      <w:pPr>
        <w:pStyle w:val="paragraph"/>
        <w:spacing w:line="276" w:lineRule="auto"/>
        <w:jc w:val="both"/>
        <w:textAlignment w:val="baseline"/>
        <w:rPr>
          <w:rStyle w:val="eop"/>
          <w:rFonts w:ascii="Century Gothic" w:hAnsi="Century Gothic"/>
          <w:b/>
          <w:bCs/>
        </w:rPr>
      </w:pPr>
      <w:r w:rsidRPr="00B7536A">
        <w:rPr>
          <w:rStyle w:val="eop"/>
          <w:rFonts w:ascii="Century Gothic" w:hAnsi="Century Gothic"/>
          <w:b/>
          <w:bCs/>
        </w:rPr>
        <w:t>Régimen de Capitalización Colectiva (RCC)</w:t>
      </w:r>
    </w:p>
    <w:p w14:paraId="385542DB" w14:textId="77777777" w:rsidR="00B91488" w:rsidRDefault="00B51A80" w:rsidP="00033DC1">
      <w:pPr>
        <w:pStyle w:val="paragraph"/>
        <w:spacing w:line="276" w:lineRule="auto"/>
        <w:jc w:val="both"/>
        <w:textAlignment w:val="baseline"/>
        <w:rPr>
          <w:rStyle w:val="eop"/>
          <w:rFonts w:ascii="Century Gothic" w:hAnsi="Century Gothic"/>
        </w:rPr>
      </w:pPr>
      <w:r>
        <w:rPr>
          <w:rStyle w:val="eop"/>
          <w:rFonts w:ascii="Century Gothic" w:hAnsi="Century Gothic"/>
        </w:rPr>
        <w:t xml:space="preserve">Con relación a las pensiones del Régimen de Capitalización Colectiva (RCC), </w:t>
      </w:r>
      <w:r w:rsidR="00033DC1">
        <w:rPr>
          <w:rStyle w:val="eop"/>
          <w:rFonts w:ascii="Century Gothic" w:hAnsi="Century Gothic"/>
        </w:rPr>
        <w:t xml:space="preserve">el incremento por costo de vida se basa según el art. 37 y 38 del Reglamento del Régimen de Capitalización Colectiva, la cual establece que </w:t>
      </w:r>
      <w:r w:rsidR="00033DC1" w:rsidRPr="00033DC1">
        <w:rPr>
          <w:rStyle w:val="eop"/>
          <w:rFonts w:ascii="Century Gothic" w:hAnsi="Century Gothic"/>
        </w:rPr>
        <w:t>el aumento debe fundamentarse en el</w:t>
      </w:r>
      <w:r w:rsidR="00033DC1">
        <w:rPr>
          <w:rStyle w:val="eop"/>
          <w:rFonts w:ascii="Century Gothic" w:hAnsi="Century Gothic"/>
        </w:rPr>
        <w:t xml:space="preserve"> </w:t>
      </w:r>
      <w:r w:rsidR="00033DC1" w:rsidRPr="00033DC1">
        <w:rPr>
          <w:rStyle w:val="eop"/>
          <w:rFonts w:ascii="Century Gothic" w:hAnsi="Century Gothic"/>
        </w:rPr>
        <w:t>criterio actuarial que rige esta materia; para</w:t>
      </w:r>
      <w:r w:rsidR="00033DC1">
        <w:rPr>
          <w:rStyle w:val="eop"/>
          <w:rFonts w:ascii="Century Gothic" w:hAnsi="Century Gothic"/>
        </w:rPr>
        <w:t xml:space="preserve"> lo cual se</w:t>
      </w:r>
      <w:r w:rsidR="00033DC1" w:rsidRPr="00033DC1">
        <w:rPr>
          <w:rStyle w:val="eop"/>
          <w:rFonts w:ascii="Century Gothic" w:hAnsi="Century Gothic"/>
        </w:rPr>
        <w:t xml:space="preserve"> considera </w:t>
      </w:r>
      <w:r w:rsidR="00033DC1">
        <w:rPr>
          <w:rStyle w:val="eop"/>
          <w:rFonts w:ascii="Century Gothic" w:hAnsi="Century Gothic"/>
        </w:rPr>
        <w:t xml:space="preserve">elementos como </w:t>
      </w:r>
      <w:r w:rsidR="00033DC1" w:rsidRPr="00033DC1">
        <w:rPr>
          <w:rStyle w:val="eop"/>
          <w:rFonts w:ascii="Century Gothic" w:hAnsi="Century Gothic"/>
        </w:rPr>
        <w:t>la inflación,</w:t>
      </w:r>
      <w:r w:rsidR="00033DC1">
        <w:rPr>
          <w:rStyle w:val="eop"/>
          <w:rFonts w:ascii="Century Gothic" w:hAnsi="Century Gothic"/>
        </w:rPr>
        <w:t xml:space="preserve"> </w:t>
      </w:r>
      <w:r w:rsidR="00033DC1" w:rsidRPr="00033DC1">
        <w:rPr>
          <w:rStyle w:val="eop"/>
          <w:rFonts w:ascii="Century Gothic" w:hAnsi="Century Gothic"/>
        </w:rPr>
        <w:t>las condiciones demográficas, así como los rendimientos observados en las</w:t>
      </w:r>
      <w:r w:rsidR="00033DC1">
        <w:rPr>
          <w:rStyle w:val="eop"/>
          <w:rFonts w:ascii="Century Gothic" w:hAnsi="Century Gothic"/>
        </w:rPr>
        <w:t xml:space="preserve"> </w:t>
      </w:r>
      <w:r w:rsidR="00033DC1" w:rsidRPr="00033DC1">
        <w:rPr>
          <w:rStyle w:val="eop"/>
          <w:rFonts w:ascii="Century Gothic" w:hAnsi="Century Gothic"/>
        </w:rPr>
        <w:t>inversiones que afectan a la Reserva Técnica Matemática del RCC.</w:t>
      </w:r>
      <w:r w:rsidR="00033DC1">
        <w:rPr>
          <w:rStyle w:val="eop"/>
          <w:rFonts w:ascii="Century Gothic" w:hAnsi="Century Gothic"/>
        </w:rPr>
        <w:t xml:space="preserve"> </w:t>
      </w:r>
    </w:p>
    <w:p w14:paraId="24B05818" w14:textId="4B2919E9" w:rsidR="00B51A80" w:rsidRDefault="00B91488" w:rsidP="00B7536A">
      <w:pPr>
        <w:pStyle w:val="paragraph"/>
        <w:spacing w:line="276" w:lineRule="auto"/>
        <w:jc w:val="both"/>
        <w:textAlignment w:val="baseline"/>
        <w:rPr>
          <w:rStyle w:val="eop"/>
          <w:rFonts w:ascii="Century Gothic" w:hAnsi="Century Gothic"/>
        </w:rPr>
      </w:pPr>
      <w:r w:rsidRPr="00B91488">
        <w:rPr>
          <w:rStyle w:val="eop"/>
          <w:rFonts w:ascii="Century Gothic" w:hAnsi="Century Gothic"/>
        </w:rPr>
        <w:lastRenderedPageBreak/>
        <w:t xml:space="preserve">Los aumentos en </w:t>
      </w:r>
      <w:r>
        <w:rPr>
          <w:rStyle w:val="eop"/>
          <w:rFonts w:ascii="Century Gothic" w:hAnsi="Century Gothic"/>
        </w:rPr>
        <w:t>estas</w:t>
      </w:r>
      <w:r w:rsidRPr="00B91488">
        <w:rPr>
          <w:rStyle w:val="eop"/>
          <w:rFonts w:ascii="Century Gothic" w:hAnsi="Century Gothic"/>
        </w:rPr>
        <w:t xml:space="preserve"> pensiones deben estar técnicamente </w:t>
      </w:r>
      <w:r>
        <w:rPr>
          <w:rStyle w:val="eop"/>
          <w:rFonts w:ascii="Century Gothic" w:hAnsi="Century Gothic"/>
        </w:rPr>
        <w:t>justificadas</w:t>
      </w:r>
      <w:r w:rsidRPr="00B91488">
        <w:rPr>
          <w:rStyle w:val="eop"/>
          <w:rFonts w:ascii="Century Gothic" w:hAnsi="Century Gothic"/>
        </w:rPr>
        <w:t>,</w:t>
      </w:r>
      <w:r>
        <w:rPr>
          <w:rStyle w:val="eop"/>
          <w:rFonts w:ascii="Century Gothic" w:hAnsi="Century Gothic"/>
        </w:rPr>
        <w:t xml:space="preserve"> </w:t>
      </w:r>
      <w:r w:rsidRPr="00B91488">
        <w:rPr>
          <w:rStyle w:val="eop"/>
          <w:rFonts w:ascii="Century Gothic" w:hAnsi="Century Gothic"/>
        </w:rPr>
        <w:t xml:space="preserve">de modo </w:t>
      </w:r>
      <w:r>
        <w:rPr>
          <w:rStyle w:val="eop"/>
          <w:rFonts w:ascii="Century Gothic" w:hAnsi="Century Gothic"/>
        </w:rPr>
        <w:t xml:space="preserve">que no ponga en riesgo la sostenibilidad del régimen de pensión y garantice el pago oportuno de las pensiones en curso y a futuro. </w:t>
      </w:r>
      <w:r w:rsidR="001837B5">
        <w:rPr>
          <w:rStyle w:val="eop"/>
          <w:rFonts w:ascii="Century Gothic" w:hAnsi="Century Gothic"/>
        </w:rPr>
        <w:t>Cabe destacar que</w:t>
      </w:r>
      <w:r w:rsidR="00125E92">
        <w:rPr>
          <w:rStyle w:val="eop"/>
          <w:rFonts w:ascii="Century Gothic" w:hAnsi="Century Gothic"/>
        </w:rPr>
        <w:t>,</w:t>
      </w:r>
      <w:r w:rsidR="001837B5">
        <w:rPr>
          <w:rStyle w:val="eop"/>
          <w:rFonts w:ascii="Century Gothic" w:hAnsi="Century Gothic"/>
        </w:rPr>
        <w:t xml:space="preserve"> en el mes de enero 2024, se </w:t>
      </w:r>
      <w:r w:rsidR="00B7536A">
        <w:rPr>
          <w:rStyle w:val="eop"/>
          <w:rFonts w:ascii="Century Gothic" w:hAnsi="Century Gothic"/>
        </w:rPr>
        <w:t>autorizó</w:t>
      </w:r>
      <w:r w:rsidR="001837B5">
        <w:rPr>
          <w:rStyle w:val="eop"/>
          <w:rFonts w:ascii="Century Gothic" w:hAnsi="Century Gothic"/>
        </w:rPr>
        <w:t xml:space="preserve"> el ajuste </w:t>
      </w:r>
      <w:r w:rsidR="00B7536A">
        <w:rPr>
          <w:rStyle w:val="eop"/>
          <w:rFonts w:ascii="Century Gothic" w:hAnsi="Century Gothic"/>
        </w:rPr>
        <w:t xml:space="preserve">ordinario por costo de vida para todas las pensiones del RCC dado los fundamentos técnicos que brindó el departamento actuarial y además se aprobó un ajuste </w:t>
      </w:r>
      <w:r w:rsidR="001837B5">
        <w:rPr>
          <w:rStyle w:val="eop"/>
          <w:rFonts w:ascii="Century Gothic" w:hAnsi="Century Gothic"/>
        </w:rPr>
        <w:t>extraordinario por costo de vida a</w:t>
      </w:r>
      <w:r w:rsidR="00B7536A">
        <w:rPr>
          <w:rStyle w:val="eop"/>
          <w:rFonts w:ascii="Century Gothic" w:hAnsi="Century Gothic"/>
        </w:rPr>
        <w:t xml:space="preserve"> las</w:t>
      </w:r>
      <w:r w:rsidR="001837B5">
        <w:rPr>
          <w:rStyle w:val="eop"/>
          <w:rFonts w:ascii="Century Gothic" w:hAnsi="Century Gothic"/>
        </w:rPr>
        <w:t xml:space="preserve"> pensiones del RCC correspondiente </w:t>
      </w:r>
      <w:r w:rsidR="00B7536A">
        <w:rPr>
          <w:rStyle w:val="eop"/>
          <w:rFonts w:ascii="Century Gothic" w:hAnsi="Century Gothic"/>
        </w:rPr>
        <w:t>de</w:t>
      </w:r>
      <w:r w:rsidR="001837B5">
        <w:rPr>
          <w:rStyle w:val="eop"/>
          <w:rFonts w:ascii="Century Gothic" w:hAnsi="Century Gothic"/>
        </w:rPr>
        <w:t xml:space="preserve"> los años 1999, 2000, 2001, 2002 y 2003 que tenían más de un 20% de pérdida de poder adquisitivo</w:t>
      </w:r>
      <w:r w:rsidR="00B7536A">
        <w:rPr>
          <w:rStyle w:val="eop"/>
          <w:rFonts w:ascii="Century Gothic" w:hAnsi="Century Gothic"/>
        </w:rPr>
        <w:t>.</w:t>
      </w:r>
    </w:p>
    <w:p w14:paraId="789BAFC9" w14:textId="55141A07" w:rsidR="00F16095" w:rsidRDefault="00D57F7E" w:rsidP="004648E5">
      <w:pPr>
        <w:pStyle w:val="paragraph"/>
        <w:spacing w:line="276" w:lineRule="auto"/>
        <w:jc w:val="both"/>
        <w:textAlignment w:val="baseline"/>
        <w:rPr>
          <w:rStyle w:val="eop"/>
          <w:rFonts w:ascii="Century Gothic" w:hAnsi="Century Gothic"/>
        </w:rPr>
      </w:pPr>
      <w:r>
        <w:rPr>
          <w:rStyle w:val="eop"/>
          <w:rFonts w:ascii="Century Gothic" w:hAnsi="Century Gothic"/>
        </w:rPr>
        <w:t>En calidad de representante del</w:t>
      </w:r>
      <w:r w:rsidR="00D41264">
        <w:rPr>
          <w:rStyle w:val="eop"/>
          <w:rFonts w:ascii="Century Gothic" w:hAnsi="Century Gothic"/>
        </w:rPr>
        <w:t xml:space="preserve"> </w:t>
      </w:r>
      <w:proofErr w:type="spellStart"/>
      <w:r>
        <w:rPr>
          <w:rStyle w:val="eop"/>
          <w:rFonts w:ascii="Century Gothic" w:hAnsi="Century Gothic"/>
        </w:rPr>
        <w:t>Colypro</w:t>
      </w:r>
      <w:proofErr w:type="spellEnd"/>
      <w:r>
        <w:rPr>
          <w:rStyle w:val="eop"/>
          <w:rFonts w:ascii="Century Gothic" w:hAnsi="Century Gothic"/>
        </w:rPr>
        <w:t xml:space="preserve"> en </w:t>
      </w:r>
      <w:proofErr w:type="spellStart"/>
      <w:r w:rsidR="007D33E1">
        <w:rPr>
          <w:rStyle w:val="eop"/>
          <w:rFonts w:ascii="Century Gothic" w:hAnsi="Century Gothic"/>
        </w:rPr>
        <w:t>Jupema</w:t>
      </w:r>
      <w:proofErr w:type="spellEnd"/>
      <w:r>
        <w:rPr>
          <w:rStyle w:val="eop"/>
          <w:rFonts w:ascii="Century Gothic" w:hAnsi="Century Gothic"/>
        </w:rPr>
        <w:t xml:space="preserve">, </w:t>
      </w:r>
      <w:r w:rsidR="00F16095">
        <w:rPr>
          <w:rStyle w:val="eop"/>
          <w:rFonts w:ascii="Century Gothic" w:hAnsi="Century Gothic"/>
        </w:rPr>
        <w:t>espero haber aclarado algunas inquietudes que surgen sobre el tema</w:t>
      </w:r>
      <w:r w:rsidR="00020FA5">
        <w:rPr>
          <w:rStyle w:val="eop"/>
          <w:rFonts w:ascii="Century Gothic" w:hAnsi="Century Gothic"/>
        </w:rPr>
        <w:t>, y reiter</w:t>
      </w:r>
      <w:r w:rsidR="00B72F23">
        <w:rPr>
          <w:rStyle w:val="eop"/>
          <w:rFonts w:ascii="Century Gothic" w:hAnsi="Century Gothic"/>
        </w:rPr>
        <w:t>o</w:t>
      </w:r>
      <w:r w:rsidR="00020FA5">
        <w:rPr>
          <w:rStyle w:val="eop"/>
          <w:rFonts w:ascii="Century Gothic" w:hAnsi="Century Gothic"/>
        </w:rPr>
        <w:t xml:space="preserve"> mi compromiso para seguir luchando </w:t>
      </w:r>
      <w:r w:rsidR="000B7123">
        <w:rPr>
          <w:rStyle w:val="eop"/>
          <w:rFonts w:ascii="Century Gothic" w:hAnsi="Century Gothic"/>
        </w:rPr>
        <w:t xml:space="preserve">en beneficio </w:t>
      </w:r>
      <w:r w:rsidR="00020FA5">
        <w:rPr>
          <w:rStyle w:val="eop"/>
          <w:rFonts w:ascii="Century Gothic" w:hAnsi="Century Gothic"/>
        </w:rPr>
        <w:t xml:space="preserve">de </w:t>
      </w:r>
      <w:r w:rsidR="00B72F23">
        <w:rPr>
          <w:rStyle w:val="eop"/>
          <w:rFonts w:ascii="Century Gothic" w:hAnsi="Century Gothic"/>
        </w:rPr>
        <w:t>los colegiados</w:t>
      </w:r>
      <w:r w:rsidR="00BA0194">
        <w:rPr>
          <w:rStyle w:val="eop"/>
          <w:rFonts w:ascii="Century Gothic" w:hAnsi="Century Gothic"/>
        </w:rPr>
        <w:t xml:space="preserve"> y de la membresía</w:t>
      </w:r>
      <w:r w:rsidR="00B72F23">
        <w:rPr>
          <w:rStyle w:val="eop"/>
          <w:rFonts w:ascii="Century Gothic" w:hAnsi="Century Gothic"/>
        </w:rPr>
        <w:t xml:space="preserve"> del Magisterio Nacional</w:t>
      </w:r>
      <w:r w:rsidR="004648E5">
        <w:rPr>
          <w:rStyle w:val="eop"/>
          <w:rFonts w:ascii="Century Gothic" w:hAnsi="Century Gothic"/>
        </w:rPr>
        <w:t>.</w:t>
      </w:r>
    </w:p>
    <w:p w14:paraId="55FDDACB" w14:textId="77777777" w:rsidR="00D03F62" w:rsidRPr="00D03F62" w:rsidRDefault="00D03F62" w:rsidP="002E35AA">
      <w:pPr>
        <w:pStyle w:val="paragraph"/>
        <w:spacing w:line="276" w:lineRule="auto"/>
        <w:jc w:val="both"/>
        <w:textAlignment w:val="baseline"/>
        <w:rPr>
          <w:rStyle w:val="eop"/>
          <w:rFonts w:ascii="Century Gothic" w:hAnsi="Century Gothic"/>
          <w:sz w:val="2"/>
          <w:szCs w:val="2"/>
        </w:rPr>
      </w:pPr>
    </w:p>
    <w:p w14:paraId="7854FB90" w14:textId="538CA148" w:rsidR="00986B19" w:rsidRDefault="00986B19" w:rsidP="004648E5">
      <w:pPr>
        <w:pStyle w:val="paragraph"/>
        <w:spacing w:line="276" w:lineRule="auto"/>
        <w:jc w:val="center"/>
        <w:textAlignment w:val="baseline"/>
        <w:rPr>
          <w:rStyle w:val="eop"/>
          <w:rFonts w:ascii="Century Gothic" w:hAnsi="Century Gothic"/>
        </w:rPr>
      </w:pPr>
      <w:proofErr w:type="spellStart"/>
      <w:r>
        <w:rPr>
          <w:rStyle w:val="eop"/>
          <w:rFonts w:ascii="Century Gothic" w:hAnsi="Century Gothic"/>
        </w:rPr>
        <w:t>Msc</w:t>
      </w:r>
      <w:proofErr w:type="spellEnd"/>
      <w:r>
        <w:rPr>
          <w:rStyle w:val="eop"/>
          <w:rFonts w:ascii="Century Gothic" w:hAnsi="Century Gothic"/>
        </w:rPr>
        <w:t>. Erick Vega Salas MBA</w:t>
      </w:r>
      <w:r w:rsidR="00BA0194">
        <w:rPr>
          <w:rStyle w:val="eop"/>
          <w:rFonts w:ascii="Century Gothic" w:hAnsi="Century Gothic"/>
        </w:rPr>
        <w:t>.</w:t>
      </w:r>
    </w:p>
    <w:p w14:paraId="6697EFCA" w14:textId="3542A631" w:rsidR="00986B19" w:rsidRDefault="00986B19" w:rsidP="004648E5">
      <w:pPr>
        <w:pStyle w:val="paragraph"/>
        <w:spacing w:line="276" w:lineRule="auto"/>
        <w:jc w:val="center"/>
        <w:textAlignment w:val="baseline"/>
        <w:rPr>
          <w:rStyle w:val="eop"/>
          <w:rFonts w:ascii="Century Gothic" w:hAnsi="Century Gothic"/>
        </w:rPr>
      </w:pPr>
      <w:r>
        <w:rPr>
          <w:rStyle w:val="eop"/>
          <w:rFonts w:ascii="Century Gothic" w:hAnsi="Century Gothic"/>
        </w:rPr>
        <w:t>Representante de</w:t>
      </w:r>
      <w:r w:rsidR="002A14AB">
        <w:rPr>
          <w:rStyle w:val="eop"/>
          <w:rFonts w:ascii="Century Gothic" w:hAnsi="Century Gothic"/>
        </w:rPr>
        <w:t xml:space="preserve"> </w:t>
      </w:r>
      <w:proofErr w:type="spellStart"/>
      <w:r w:rsidR="002A14AB">
        <w:rPr>
          <w:rStyle w:val="eop"/>
          <w:rFonts w:ascii="Century Gothic" w:hAnsi="Century Gothic"/>
        </w:rPr>
        <w:t>Colypro</w:t>
      </w:r>
      <w:proofErr w:type="spellEnd"/>
      <w:r w:rsidR="002A14AB">
        <w:rPr>
          <w:rStyle w:val="eop"/>
          <w:rFonts w:ascii="Century Gothic" w:hAnsi="Century Gothic"/>
        </w:rPr>
        <w:t xml:space="preserve"> en </w:t>
      </w:r>
      <w:proofErr w:type="spellStart"/>
      <w:r w:rsidR="002A14AB">
        <w:rPr>
          <w:rStyle w:val="eop"/>
          <w:rFonts w:ascii="Century Gothic" w:hAnsi="Century Gothic"/>
        </w:rPr>
        <w:t>Jupema</w:t>
      </w:r>
      <w:proofErr w:type="spellEnd"/>
      <w:r w:rsidR="002A14AB">
        <w:rPr>
          <w:rStyle w:val="eop"/>
          <w:rFonts w:ascii="Century Gothic" w:hAnsi="Century Gothic"/>
        </w:rPr>
        <w:t>.</w:t>
      </w:r>
    </w:p>
    <w:bookmarkEnd w:id="2"/>
    <w:bookmarkEnd w:id="3"/>
    <w:p w14:paraId="492458B0" w14:textId="7A8931B1" w:rsidR="0071067A" w:rsidRPr="00BA0194" w:rsidRDefault="0071067A" w:rsidP="00BA0194">
      <w:pPr>
        <w:spacing w:line="276" w:lineRule="auto"/>
        <w:rPr>
          <w:rFonts w:ascii="Century Gothic" w:hAnsi="Century Gothic"/>
          <w:color w:val="404040" w:themeColor="text1" w:themeTint="BF"/>
          <w:szCs w:val="22"/>
        </w:rPr>
      </w:pPr>
    </w:p>
    <w:sectPr w:rsidR="0071067A" w:rsidRPr="00BA0194" w:rsidSect="000217C7">
      <w:headerReference w:type="default" r:id="rId9"/>
      <w:footerReference w:type="even" r:id="rId10"/>
      <w:footerReference w:type="default" r:id="rId11"/>
      <w:pgSz w:w="12240" w:h="15840"/>
      <w:pgMar w:top="1417" w:right="1701" w:bottom="1417" w:left="1701" w:header="0"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B2048" w14:textId="77777777" w:rsidR="00C117F6" w:rsidRPr="00747555" w:rsidRDefault="00C117F6" w:rsidP="00167032">
      <w:r w:rsidRPr="00747555">
        <w:separator/>
      </w:r>
    </w:p>
  </w:endnote>
  <w:endnote w:type="continuationSeparator" w:id="0">
    <w:p w14:paraId="76859326" w14:textId="77777777" w:rsidR="00C117F6" w:rsidRPr="00747555" w:rsidRDefault="00C117F6" w:rsidP="00167032">
      <w:r w:rsidRPr="0074755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Cn">
    <w:altName w:val="Arial"/>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53688351"/>
      <w:docPartObj>
        <w:docPartGallery w:val="Page Numbers (Bottom of Page)"/>
        <w:docPartUnique/>
      </w:docPartObj>
    </w:sdtPr>
    <w:sdtEndPr>
      <w:rPr>
        <w:rStyle w:val="Nmerodepgina"/>
      </w:rPr>
    </w:sdtEndPr>
    <w:sdtContent>
      <w:p w14:paraId="541E3822" w14:textId="41A1DCEA" w:rsidR="00167032" w:rsidRPr="00747555" w:rsidRDefault="00167032" w:rsidP="00466C07">
        <w:pPr>
          <w:pStyle w:val="Piedepgina"/>
          <w:framePr w:wrap="none" w:vAnchor="text" w:hAnchor="margin" w:xAlign="right" w:y="1"/>
          <w:rPr>
            <w:rStyle w:val="Nmerodepgina"/>
          </w:rPr>
        </w:pPr>
        <w:r w:rsidRPr="00747555">
          <w:rPr>
            <w:rStyle w:val="Nmerodepgina"/>
          </w:rPr>
          <w:fldChar w:fldCharType="begin"/>
        </w:r>
        <w:r w:rsidRPr="00747555">
          <w:rPr>
            <w:rStyle w:val="Nmerodepgina"/>
          </w:rPr>
          <w:instrText xml:space="preserve"> PAGE </w:instrText>
        </w:r>
        <w:r w:rsidRPr="00747555">
          <w:rPr>
            <w:rStyle w:val="Nmerodepgina"/>
          </w:rPr>
          <w:fldChar w:fldCharType="end"/>
        </w:r>
      </w:p>
    </w:sdtContent>
  </w:sdt>
  <w:p w14:paraId="40EDB276" w14:textId="77777777" w:rsidR="00167032" w:rsidRPr="00747555" w:rsidRDefault="00167032" w:rsidP="0016703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Roboto Cn" w:hAnsi="Roboto Cn"/>
        <w:color w:val="09417A"/>
        <w:sz w:val="36"/>
        <w:szCs w:val="36"/>
      </w:rPr>
      <w:id w:val="-1579275109"/>
      <w:docPartObj>
        <w:docPartGallery w:val="Page Numbers (Bottom of Page)"/>
        <w:docPartUnique/>
      </w:docPartObj>
    </w:sdtPr>
    <w:sdtEndPr>
      <w:rPr>
        <w:rStyle w:val="Nmerodepgina"/>
      </w:rPr>
    </w:sdtEndPr>
    <w:sdtContent>
      <w:p w14:paraId="76C1CBEE" w14:textId="106E415B" w:rsidR="00167032" w:rsidRPr="00747555" w:rsidRDefault="00167032" w:rsidP="00B86C8D">
        <w:pPr>
          <w:pStyle w:val="Piedepgina"/>
          <w:framePr w:w="184" w:h="440" w:hRule="exact" w:wrap="none" w:vAnchor="text" w:hAnchor="page" w:x="11378" w:y="646"/>
          <w:jc w:val="center"/>
          <w:rPr>
            <w:rStyle w:val="Nmerodepgina"/>
            <w:rFonts w:ascii="Roboto Cn" w:hAnsi="Roboto Cn"/>
            <w:color w:val="09417A"/>
            <w:sz w:val="36"/>
            <w:szCs w:val="36"/>
          </w:rPr>
        </w:pPr>
        <w:r w:rsidRPr="00747555">
          <w:rPr>
            <w:rStyle w:val="Nmerodepgina"/>
            <w:rFonts w:ascii="Roboto Cn" w:hAnsi="Roboto Cn"/>
            <w:color w:val="09417A"/>
            <w:sz w:val="36"/>
            <w:szCs w:val="36"/>
          </w:rPr>
          <w:fldChar w:fldCharType="begin"/>
        </w:r>
        <w:r w:rsidRPr="00747555">
          <w:rPr>
            <w:rStyle w:val="Nmerodepgina"/>
            <w:rFonts w:ascii="Roboto Cn" w:hAnsi="Roboto Cn"/>
            <w:color w:val="09417A"/>
            <w:sz w:val="36"/>
            <w:szCs w:val="36"/>
          </w:rPr>
          <w:instrText xml:space="preserve"> PAGE </w:instrText>
        </w:r>
        <w:r w:rsidRPr="00747555">
          <w:rPr>
            <w:rStyle w:val="Nmerodepgina"/>
            <w:rFonts w:ascii="Roboto Cn" w:hAnsi="Roboto Cn"/>
            <w:color w:val="09417A"/>
            <w:sz w:val="36"/>
            <w:szCs w:val="36"/>
          </w:rPr>
          <w:fldChar w:fldCharType="separate"/>
        </w:r>
        <w:r w:rsidRPr="00747555">
          <w:rPr>
            <w:rStyle w:val="Nmerodepgina"/>
            <w:rFonts w:ascii="Roboto Cn" w:hAnsi="Roboto Cn"/>
            <w:color w:val="09417A"/>
            <w:sz w:val="36"/>
            <w:szCs w:val="36"/>
          </w:rPr>
          <w:t>1</w:t>
        </w:r>
        <w:r w:rsidRPr="00747555">
          <w:rPr>
            <w:rStyle w:val="Nmerodepgina"/>
            <w:rFonts w:ascii="Roboto Cn" w:hAnsi="Roboto Cn"/>
            <w:color w:val="09417A"/>
            <w:sz w:val="36"/>
            <w:szCs w:val="36"/>
          </w:rPr>
          <w:fldChar w:fldCharType="end"/>
        </w:r>
      </w:p>
    </w:sdtContent>
  </w:sdt>
  <w:p w14:paraId="6C218A36" w14:textId="760CF17B" w:rsidR="00167032" w:rsidRPr="00747555" w:rsidRDefault="0052136C" w:rsidP="00167032">
    <w:pPr>
      <w:pStyle w:val="Piedepgina"/>
      <w:ind w:right="360" w:hanging="1440"/>
    </w:pPr>
    <w:r>
      <w:t xml:space="preserve">                       </w:t>
    </w:r>
    <w:r>
      <w:rPr>
        <w:noProof/>
      </w:rPr>
      <w:drawing>
        <wp:inline distT="0" distB="0" distL="0" distR="0" wp14:anchorId="75DD177B" wp14:editId="14A9D5DB">
          <wp:extent cx="1000125" cy="735330"/>
          <wp:effectExtent l="0" t="0" r="9525" b="7620"/>
          <wp:docPr id="1765481179" name="Imagen 1765481179"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stretch>
                    <a:fillRect/>
                  </a:stretch>
                </pic:blipFill>
                <pic:spPr>
                  <a:xfrm>
                    <a:off x="0" y="0"/>
                    <a:ext cx="1000125" cy="7353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703CC" w14:textId="77777777" w:rsidR="00C117F6" w:rsidRPr="00747555" w:rsidRDefault="00C117F6" w:rsidP="00167032">
      <w:r w:rsidRPr="00747555">
        <w:separator/>
      </w:r>
    </w:p>
  </w:footnote>
  <w:footnote w:type="continuationSeparator" w:id="0">
    <w:p w14:paraId="0434242A" w14:textId="77777777" w:rsidR="00C117F6" w:rsidRPr="00747555" w:rsidRDefault="00C117F6" w:rsidP="00167032">
      <w:r w:rsidRPr="0074755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D1A6" w14:textId="26C415CE" w:rsidR="00167032" w:rsidRPr="00747555" w:rsidRDefault="00167032" w:rsidP="00167032">
    <w:pPr>
      <w:pStyle w:val="Encabezado"/>
      <w:tabs>
        <w:tab w:val="clear" w:pos="9360"/>
      </w:tabs>
      <w:ind w:right="-1440" w:hanging="1418"/>
    </w:pPr>
    <w:r w:rsidRPr="00747555">
      <w:rPr>
        <w:noProof/>
      </w:rPr>
      <mc:AlternateContent>
        <mc:Choice Requires="wps">
          <w:drawing>
            <wp:anchor distT="0" distB="0" distL="114300" distR="114300" simplePos="0" relativeHeight="251659264" behindDoc="0" locked="0" layoutInCell="1" allowOverlap="1" wp14:anchorId="4B8545E5" wp14:editId="0F2D21A4">
              <wp:simplePos x="0" y="0"/>
              <wp:positionH relativeFrom="column">
                <wp:posOffset>534010</wp:posOffset>
              </wp:positionH>
              <wp:positionV relativeFrom="paragraph">
                <wp:posOffset>51206</wp:posOffset>
              </wp:positionV>
              <wp:extent cx="1250899" cy="773989"/>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250899" cy="773989"/>
                      </a:xfrm>
                      <a:prstGeom prst="rect">
                        <a:avLst/>
                      </a:prstGeom>
                      <a:noFill/>
                      <a:ln w="6350">
                        <a:noFill/>
                      </a:ln>
                    </wps:spPr>
                    <wps:txbx>
                      <w:txbxContent>
                        <w:p w14:paraId="5D890685" w14:textId="6F70FEE5" w:rsidR="00167032" w:rsidRPr="00747555" w:rsidRDefault="00167032" w:rsidP="00167032">
                          <w:pPr>
                            <w:jc w:val="center"/>
                            <w:rPr>
                              <w:rFonts w:ascii="Century Gothic" w:hAnsi="Century Gothic"/>
                              <w:color w:val="09417A"/>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545E5" id="_x0000_t202" coordsize="21600,21600" o:spt="202" path="m,l,21600r21600,l21600,xe">
              <v:stroke joinstyle="miter"/>
              <v:path gradientshapeok="t" o:connecttype="rect"/>
            </v:shapetype>
            <v:shape id="Text Box 3" o:spid="_x0000_s1027" type="#_x0000_t202" style="position:absolute;margin-left:42.05pt;margin-top:4.05pt;width:98.5pt;height:6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j0FwIAACwEAAAOAAAAZHJzL2Uyb0RvYy54bWysU02P2yAQvVfqf0DcGzvZZJNYcVbprlJV&#10;inZXylZ7JhhiS5ihQGKnv74Ddj607anqBQZmmI/3HouHtlbkKKyrQOd0OEgpEZpDUel9Tn+8rb/M&#10;KHGe6YIp0CKnJ+How/Lzp0VjMjGCElQhLMEk2mWNyWnpvcmSxPFS1MwNwAiNTgm2Zh6Pdp8UljWY&#10;vVbJKE3vkwZsYSxw4RzePnVOuoz5pRTcv0jphCcqp9ibj6uN6y6syXLBsr1lpqx43wb7hy5qVmks&#10;ekn1xDwjB1v9kaquuAUH0g841AlIWXERZ8BphumHabYlMyLOguA4c4HJ/b+0/Pm4Na+W+PYrtEhg&#10;AKQxLnN4GeZppa3Djp0S9COEpwtsovWEh0ejSTqbzynh6JtO7+azeUiTXF8b6/w3ATUJRk4t0hLR&#10;YseN813oOSQU07CulIrUKE2anN7fTdL44OLB5EpjjWuvwfLtru0H2EFxwrksdJQ7w9cVFt8w51+Z&#10;RY5xFNStf8FFKsAi0FuUlGB//e0+xCP06KWkQc3k1P08MCsoUd81kjIfjsdBZPEwnkxHeLC3nt2t&#10;Rx/qR0BZDvGHGB7NEO/V2ZQW6neU9ypURRfTHGvn1J/NR98pGb8HF6tVDEJZGeY3emt4SB3gDNC+&#10;te/Mmh5/j8w9w1ldLPtAQxfbEbE6eJBV5CgA3KHa446SjCz33ydo/vYco66ffPkbAAD//wMAUEsD&#10;BBQABgAIAAAAIQAhrSuP3gAAAAgBAAAPAAAAZHJzL2Rvd25yZXYueG1sTI9BT8MwDIXvSPyHyEjc&#10;WNLCUFWaTlOlCQnBYWMXbm7jtRVNUppsK/x6zGmcnq339Py5WM12ECeaQu+dhmShQJBrvOldq2H/&#10;vrnLQISIzuDgHWn4pgCr8vqqwNz4s9vSaRdbwSUu5Kihi3HMpQxNRxbDwo/k2Dv4yWLkdWqlmfDM&#10;5XaQqVKP0mLv+EKHI1UdNZ+7o9XwUm3ecFunNvsZqufXw3r82n8stb69mddPICLN8RKGP3xGh5KZ&#10;an90JohBQ/aQcJKVhe00S3ioOXevFMiykP8fKH8BAAD//wMAUEsBAi0AFAAGAAgAAAAhALaDOJL+&#10;AAAA4QEAABMAAAAAAAAAAAAAAAAAAAAAAFtDb250ZW50X1R5cGVzXS54bWxQSwECLQAUAAYACAAA&#10;ACEAOP0h/9YAAACUAQAACwAAAAAAAAAAAAAAAAAvAQAAX3JlbHMvLnJlbHNQSwECLQAUAAYACAAA&#10;ACEAbzY49BcCAAAsBAAADgAAAAAAAAAAAAAAAAAuAgAAZHJzL2Uyb0RvYy54bWxQSwECLQAUAAYA&#10;CAAAACEAIa0rj94AAAAIAQAADwAAAAAAAAAAAAAAAABxBAAAZHJzL2Rvd25yZXYueG1sUEsFBgAA&#10;AAAEAAQA8wAAAHwFAAAAAA==&#10;" filled="f" stroked="f" strokeweight=".5pt">
              <v:textbox>
                <w:txbxContent>
                  <w:p w14:paraId="5D890685" w14:textId="6F70FEE5" w:rsidR="00167032" w:rsidRPr="00747555" w:rsidRDefault="00167032" w:rsidP="00167032">
                    <w:pPr>
                      <w:jc w:val="center"/>
                      <w:rPr>
                        <w:rFonts w:ascii="Century Gothic" w:hAnsi="Century Gothic"/>
                        <w:color w:val="09417A"/>
                        <w:sz w:val="28"/>
                        <w:szCs w:val="28"/>
                      </w:rPr>
                    </w:pPr>
                  </w:p>
                </w:txbxContent>
              </v:textbox>
            </v:shape>
          </w:pict>
        </mc:Fallback>
      </mc:AlternateContent>
    </w:r>
    <w:r w:rsidRPr="00747555">
      <w:rPr>
        <w:noProof/>
      </w:rPr>
      <w:drawing>
        <wp:inline distT="0" distB="0" distL="0" distR="0" wp14:anchorId="3DB3FA3C" wp14:editId="13D6269E">
          <wp:extent cx="7769225" cy="9144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69225"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97C"/>
    <w:multiLevelType w:val="hybridMultilevel"/>
    <w:tmpl w:val="66AE8628"/>
    <w:lvl w:ilvl="0" w:tplc="C3F40386">
      <w:start w:val="2"/>
      <w:numFmt w:val="bullet"/>
      <w:lvlText w:val="-"/>
      <w:lvlJc w:val="left"/>
      <w:pPr>
        <w:ind w:left="720" w:hanging="360"/>
      </w:pPr>
      <w:rPr>
        <w:rFonts w:ascii="Century Gothic" w:eastAsia="Times New Roman" w:hAnsi="Century Gothic"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0E72F38"/>
    <w:multiLevelType w:val="hybridMultilevel"/>
    <w:tmpl w:val="4C8E7886"/>
    <w:lvl w:ilvl="0" w:tplc="140A000F">
      <w:start w:val="1"/>
      <w:numFmt w:val="decimal"/>
      <w:lvlText w:val="%1."/>
      <w:lvlJc w:val="left"/>
      <w:pPr>
        <w:ind w:left="674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19171CB"/>
    <w:multiLevelType w:val="hybridMultilevel"/>
    <w:tmpl w:val="1BE2EEE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47969CE"/>
    <w:multiLevelType w:val="hybridMultilevel"/>
    <w:tmpl w:val="C988DD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396775B0"/>
    <w:multiLevelType w:val="hybridMultilevel"/>
    <w:tmpl w:val="463AAE5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3B586557"/>
    <w:multiLevelType w:val="hybridMultilevel"/>
    <w:tmpl w:val="CC185FF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6" w15:restartNumberingAfterBreak="0">
    <w:nsid w:val="3E0C2253"/>
    <w:multiLevelType w:val="hybridMultilevel"/>
    <w:tmpl w:val="B498CCEC"/>
    <w:lvl w:ilvl="0" w:tplc="E0304E92">
      <w:start w:val="2"/>
      <w:numFmt w:val="bullet"/>
      <w:lvlText w:val="-"/>
      <w:lvlJc w:val="left"/>
      <w:pPr>
        <w:ind w:left="720" w:hanging="360"/>
      </w:pPr>
      <w:rPr>
        <w:rFonts w:ascii="Century Gothic" w:eastAsia="Times New Roman" w:hAnsi="Century Gothic"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2131BE2"/>
    <w:multiLevelType w:val="hybridMultilevel"/>
    <w:tmpl w:val="2A6E2408"/>
    <w:lvl w:ilvl="0" w:tplc="D06A121E">
      <w:start w:val="1"/>
      <w:numFmt w:val="bullet"/>
      <w:lvlText w:val=""/>
      <w:lvlJc w:val="left"/>
      <w:pPr>
        <w:ind w:left="360" w:hanging="360"/>
      </w:pPr>
      <w:rPr>
        <w:rFonts w:ascii="Symbol" w:hAnsi="Symbol" w:hint="default"/>
        <w:color w:val="auto"/>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15:restartNumberingAfterBreak="0">
    <w:nsid w:val="529B3DA6"/>
    <w:multiLevelType w:val="hybridMultilevel"/>
    <w:tmpl w:val="709454F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9" w15:restartNumberingAfterBreak="0">
    <w:nsid w:val="557A629C"/>
    <w:multiLevelType w:val="multilevel"/>
    <w:tmpl w:val="8DA6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9C2B2D"/>
    <w:multiLevelType w:val="multilevel"/>
    <w:tmpl w:val="5710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9D6339"/>
    <w:multiLevelType w:val="multilevel"/>
    <w:tmpl w:val="ABF2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373C8F"/>
    <w:multiLevelType w:val="multilevel"/>
    <w:tmpl w:val="1ACC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F26481"/>
    <w:multiLevelType w:val="hybridMultilevel"/>
    <w:tmpl w:val="94226016"/>
    <w:lvl w:ilvl="0" w:tplc="C400A900">
      <w:start w:val="1"/>
      <w:numFmt w:val="bullet"/>
      <w:lvlText w:val=""/>
      <w:lvlJc w:val="left"/>
      <w:pPr>
        <w:ind w:left="-5736" w:hanging="360"/>
      </w:pPr>
      <w:rPr>
        <w:rFonts w:ascii="Symbol" w:hAnsi="Symbol" w:hint="default"/>
        <w:color w:val="auto"/>
      </w:rPr>
    </w:lvl>
    <w:lvl w:ilvl="1" w:tplc="140A0003" w:tentative="1">
      <w:start w:val="1"/>
      <w:numFmt w:val="bullet"/>
      <w:lvlText w:val="o"/>
      <w:lvlJc w:val="left"/>
      <w:pPr>
        <w:ind w:left="-5016" w:hanging="360"/>
      </w:pPr>
      <w:rPr>
        <w:rFonts w:ascii="Courier New" w:hAnsi="Courier New" w:cs="Courier New" w:hint="default"/>
      </w:rPr>
    </w:lvl>
    <w:lvl w:ilvl="2" w:tplc="140A0005" w:tentative="1">
      <w:start w:val="1"/>
      <w:numFmt w:val="bullet"/>
      <w:lvlText w:val=""/>
      <w:lvlJc w:val="left"/>
      <w:pPr>
        <w:ind w:left="-4296" w:hanging="360"/>
      </w:pPr>
      <w:rPr>
        <w:rFonts w:ascii="Wingdings" w:hAnsi="Wingdings" w:hint="default"/>
      </w:rPr>
    </w:lvl>
    <w:lvl w:ilvl="3" w:tplc="140A0001" w:tentative="1">
      <w:start w:val="1"/>
      <w:numFmt w:val="bullet"/>
      <w:lvlText w:val=""/>
      <w:lvlJc w:val="left"/>
      <w:pPr>
        <w:ind w:left="-3576" w:hanging="360"/>
      </w:pPr>
      <w:rPr>
        <w:rFonts w:ascii="Symbol" w:hAnsi="Symbol" w:hint="default"/>
      </w:rPr>
    </w:lvl>
    <w:lvl w:ilvl="4" w:tplc="140A0003" w:tentative="1">
      <w:start w:val="1"/>
      <w:numFmt w:val="bullet"/>
      <w:lvlText w:val="o"/>
      <w:lvlJc w:val="left"/>
      <w:pPr>
        <w:ind w:left="-2856" w:hanging="360"/>
      </w:pPr>
      <w:rPr>
        <w:rFonts w:ascii="Courier New" w:hAnsi="Courier New" w:cs="Courier New" w:hint="default"/>
      </w:rPr>
    </w:lvl>
    <w:lvl w:ilvl="5" w:tplc="140A0005" w:tentative="1">
      <w:start w:val="1"/>
      <w:numFmt w:val="bullet"/>
      <w:lvlText w:val=""/>
      <w:lvlJc w:val="left"/>
      <w:pPr>
        <w:ind w:left="-2136" w:hanging="360"/>
      </w:pPr>
      <w:rPr>
        <w:rFonts w:ascii="Wingdings" w:hAnsi="Wingdings" w:hint="default"/>
      </w:rPr>
    </w:lvl>
    <w:lvl w:ilvl="6" w:tplc="140A0001" w:tentative="1">
      <w:start w:val="1"/>
      <w:numFmt w:val="bullet"/>
      <w:lvlText w:val=""/>
      <w:lvlJc w:val="left"/>
      <w:pPr>
        <w:ind w:left="-1416" w:hanging="360"/>
      </w:pPr>
      <w:rPr>
        <w:rFonts w:ascii="Symbol" w:hAnsi="Symbol" w:hint="default"/>
      </w:rPr>
    </w:lvl>
    <w:lvl w:ilvl="7" w:tplc="140A0003" w:tentative="1">
      <w:start w:val="1"/>
      <w:numFmt w:val="bullet"/>
      <w:lvlText w:val="o"/>
      <w:lvlJc w:val="left"/>
      <w:pPr>
        <w:ind w:left="-696" w:hanging="360"/>
      </w:pPr>
      <w:rPr>
        <w:rFonts w:ascii="Courier New" w:hAnsi="Courier New" w:cs="Courier New" w:hint="default"/>
      </w:rPr>
    </w:lvl>
    <w:lvl w:ilvl="8" w:tplc="140A0005" w:tentative="1">
      <w:start w:val="1"/>
      <w:numFmt w:val="bullet"/>
      <w:lvlText w:val=""/>
      <w:lvlJc w:val="left"/>
      <w:pPr>
        <w:ind w:left="24" w:hanging="360"/>
      </w:pPr>
      <w:rPr>
        <w:rFonts w:ascii="Wingdings" w:hAnsi="Wingdings" w:hint="default"/>
      </w:rPr>
    </w:lvl>
  </w:abstractNum>
  <w:abstractNum w:abstractNumId="14" w15:restartNumberingAfterBreak="0">
    <w:nsid w:val="7BBF22B1"/>
    <w:multiLevelType w:val="hybridMultilevel"/>
    <w:tmpl w:val="3A426356"/>
    <w:lvl w:ilvl="0" w:tplc="330EFEF2">
      <w:start w:val="9"/>
      <w:numFmt w:val="decimalZero"/>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751663879">
    <w:abstractNumId w:val="4"/>
  </w:num>
  <w:num w:numId="2" w16cid:durableId="1724479376">
    <w:abstractNumId w:val="7"/>
  </w:num>
  <w:num w:numId="3" w16cid:durableId="2145730403">
    <w:abstractNumId w:val="13"/>
  </w:num>
  <w:num w:numId="4" w16cid:durableId="1707869994">
    <w:abstractNumId w:val="1"/>
  </w:num>
  <w:num w:numId="5" w16cid:durableId="1679501321">
    <w:abstractNumId w:val="9"/>
  </w:num>
  <w:num w:numId="6" w16cid:durableId="120267406">
    <w:abstractNumId w:val="11"/>
  </w:num>
  <w:num w:numId="7" w16cid:durableId="1521047305">
    <w:abstractNumId w:val="10"/>
  </w:num>
  <w:num w:numId="8" w16cid:durableId="1897937595">
    <w:abstractNumId w:val="12"/>
  </w:num>
  <w:num w:numId="9" w16cid:durableId="1436710300">
    <w:abstractNumId w:val="2"/>
  </w:num>
  <w:num w:numId="10" w16cid:durableId="254483412">
    <w:abstractNumId w:val="8"/>
  </w:num>
  <w:num w:numId="11" w16cid:durableId="1769111240">
    <w:abstractNumId w:val="3"/>
  </w:num>
  <w:num w:numId="12" w16cid:durableId="1112897253">
    <w:abstractNumId w:val="5"/>
  </w:num>
  <w:num w:numId="13" w16cid:durableId="198857867">
    <w:abstractNumId w:val="14"/>
  </w:num>
  <w:num w:numId="14" w16cid:durableId="681668431">
    <w:abstractNumId w:val="6"/>
  </w:num>
  <w:num w:numId="15" w16cid:durableId="174059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032"/>
    <w:rsid w:val="00001D9A"/>
    <w:rsid w:val="00006C6C"/>
    <w:rsid w:val="00017753"/>
    <w:rsid w:val="00020FA5"/>
    <w:rsid w:val="000217C7"/>
    <w:rsid w:val="00033DC1"/>
    <w:rsid w:val="00042998"/>
    <w:rsid w:val="0005436C"/>
    <w:rsid w:val="000556ED"/>
    <w:rsid w:val="000604E6"/>
    <w:rsid w:val="00063694"/>
    <w:rsid w:val="000645B5"/>
    <w:rsid w:val="00072BF7"/>
    <w:rsid w:val="00073285"/>
    <w:rsid w:val="0007347D"/>
    <w:rsid w:val="00077A72"/>
    <w:rsid w:val="00091172"/>
    <w:rsid w:val="0009403C"/>
    <w:rsid w:val="00094B54"/>
    <w:rsid w:val="000A6F4D"/>
    <w:rsid w:val="000B3849"/>
    <w:rsid w:val="000B7123"/>
    <w:rsid w:val="000C4F41"/>
    <w:rsid w:val="000C593B"/>
    <w:rsid w:val="000C5B30"/>
    <w:rsid w:val="000C7304"/>
    <w:rsid w:val="000C7B66"/>
    <w:rsid w:val="000D2046"/>
    <w:rsid w:val="000E5392"/>
    <w:rsid w:val="00105E99"/>
    <w:rsid w:val="00107012"/>
    <w:rsid w:val="00115753"/>
    <w:rsid w:val="0011580C"/>
    <w:rsid w:val="0011740B"/>
    <w:rsid w:val="00122EDA"/>
    <w:rsid w:val="00125E92"/>
    <w:rsid w:val="00126E38"/>
    <w:rsid w:val="00137FE6"/>
    <w:rsid w:val="001422E5"/>
    <w:rsid w:val="00143E6A"/>
    <w:rsid w:val="001440D6"/>
    <w:rsid w:val="001532D7"/>
    <w:rsid w:val="00156B55"/>
    <w:rsid w:val="00163257"/>
    <w:rsid w:val="00165152"/>
    <w:rsid w:val="00165985"/>
    <w:rsid w:val="00167032"/>
    <w:rsid w:val="00171585"/>
    <w:rsid w:val="00173162"/>
    <w:rsid w:val="00173D01"/>
    <w:rsid w:val="00183528"/>
    <w:rsid w:val="001837B5"/>
    <w:rsid w:val="00187B33"/>
    <w:rsid w:val="001A48E5"/>
    <w:rsid w:val="001F6D62"/>
    <w:rsid w:val="0020107C"/>
    <w:rsid w:val="00206AFF"/>
    <w:rsid w:val="00215537"/>
    <w:rsid w:val="002159A3"/>
    <w:rsid w:val="00217C4A"/>
    <w:rsid w:val="002245DB"/>
    <w:rsid w:val="002379B7"/>
    <w:rsid w:val="00240ACB"/>
    <w:rsid w:val="00240E6D"/>
    <w:rsid w:val="002578E5"/>
    <w:rsid w:val="00257CD7"/>
    <w:rsid w:val="00260A26"/>
    <w:rsid w:val="0026328F"/>
    <w:rsid w:val="0028009C"/>
    <w:rsid w:val="00280266"/>
    <w:rsid w:val="00280353"/>
    <w:rsid w:val="00284DD6"/>
    <w:rsid w:val="002977B5"/>
    <w:rsid w:val="00297B76"/>
    <w:rsid w:val="002A14AB"/>
    <w:rsid w:val="002A5215"/>
    <w:rsid w:val="002A62AC"/>
    <w:rsid w:val="002C1FC6"/>
    <w:rsid w:val="002C30C4"/>
    <w:rsid w:val="002C466C"/>
    <w:rsid w:val="002D5BEA"/>
    <w:rsid w:val="002D77A1"/>
    <w:rsid w:val="002E0F4F"/>
    <w:rsid w:val="002E35AA"/>
    <w:rsid w:val="002E6E3F"/>
    <w:rsid w:val="002F0D55"/>
    <w:rsid w:val="002F2441"/>
    <w:rsid w:val="003110E7"/>
    <w:rsid w:val="00317606"/>
    <w:rsid w:val="00333337"/>
    <w:rsid w:val="0034052D"/>
    <w:rsid w:val="0034330C"/>
    <w:rsid w:val="003470E5"/>
    <w:rsid w:val="003727B2"/>
    <w:rsid w:val="00390334"/>
    <w:rsid w:val="0039274D"/>
    <w:rsid w:val="003B7AFB"/>
    <w:rsid w:val="003C53DC"/>
    <w:rsid w:val="003C71F2"/>
    <w:rsid w:val="003D4CF7"/>
    <w:rsid w:val="003E0AF7"/>
    <w:rsid w:val="003E14D7"/>
    <w:rsid w:val="003E5824"/>
    <w:rsid w:val="003F3B1F"/>
    <w:rsid w:val="003F56EF"/>
    <w:rsid w:val="0040282A"/>
    <w:rsid w:val="00403618"/>
    <w:rsid w:val="00406018"/>
    <w:rsid w:val="0041224E"/>
    <w:rsid w:val="00415AD0"/>
    <w:rsid w:val="00426B9A"/>
    <w:rsid w:val="00432637"/>
    <w:rsid w:val="00432A10"/>
    <w:rsid w:val="00435A03"/>
    <w:rsid w:val="004409AF"/>
    <w:rsid w:val="004432C4"/>
    <w:rsid w:val="00443DEC"/>
    <w:rsid w:val="0046173C"/>
    <w:rsid w:val="0046453D"/>
    <w:rsid w:val="004648E5"/>
    <w:rsid w:val="0046514D"/>
    <w:rsid w:val="00471CE8"/>
    <w:rsid w:val="0047317F"/>
    <w:rsid w:val="00482421"/>
    <w:rsid w:val="00497BB9"/>
    <w:rsid w:val="004B7F50"/>
    <w:rsid w:val="004C2F46"/>
    <w:rsid w:val="004C6959"/>
    <w:rsid w:val="004D0961"/>
    <w:rsid w:val="004E183B"/>
    <w:rsid w:val="004E3984"/>
    <w:rsid w:val="004E4359"/>
    <w:rsid w:val="004F0E19"/>
    <w:rsid w:val="00504D7E"/>
    <w:rsid w:val="00510101"/>
    <w:rsid w:val="00512DD2"/>
    <w:rsid w:val="0052136C"/>
    <w:rsid w:val="00522C4D"/>
    <w:rsid w:val="00532A02"/>
    <w:rsid w:val="005617C2"/>
    <w:rsid w:val="00571665"/>
    <w:rsid w:val="00582561"/>
    <w:rsid w:val="00591999"/>
    <w:rsid w:val="0059675C"/>
    <w:rsid w:val="005976FD"/>
    <w:rsid w:val="005A39B8"/>
    <w:rsid w:val="005A7555"/>
    <w:rsid w:val="005B5DE6"/>
    <w:rsid w:val="005E30B0"/>
    <w:rsid w:val="005F1DAE"/>
    <w:rsid w:val="00600771"/>
    <w:rsid w:val="006017B9"/>
    <w:rsid w:val="00604131"/>
    <w:rsid w:val="00606823"/>
    <w:rsid w:val="00606FDD"/>
    <w:rsid w:val="00611B63"/>
    <w:rsid w:val="006123C4"/>
    <w:rsid w:val="00614306"/>
    <w:rsid w:val="00620B12"/>
    <w:rsid w:val="006247A6"/>
    <w:rsid w:val="00632370"/>
    <w:rsid w:val="00636BA3"/>
    <w:rsid w:val="00645012"/>
    <w:rsid w:val="0065290D"/>
    <w:rsid w:val="006665D1"/>
    <w:rsid w:val="00666BD2"/>
    <w:rsid w:val="00671488"/>
    <w:rsid w:val="006743C9"/>
    <w:rsid w:val="006760F6"/>
    <w:rsid w:val="0068195A"/>
    <w:rsid w:val="00683536"/>
    <w:rsid w:val="006A39FF"/>
    <w:rsid w:val="006A41CC"/>
    <w:rsid w:val="006A623F"/>
    <w:rsid w:val="006A6AF8"/>
    <w:rsid w:val="006A71AF"/>
    <w:rsid w:val="006A7CCA"/>
    <w:rsid w:val="006C1EDC"/>
    <w:rsid w:val="006C2AF9"/>
    <w:rsid w:val="006C728A"/>
    <w:rsid w:val="006D2AA9"/>
    <w:rsid w:val="006E2DE3"/>
    <w:rsid w:val="0071067A"/>
    <w:rsid w:val="0071228B"/>
    <w:rsid w:val="00721124"/>
    <w:rsid w:val="00724F83"/>
    <w:rsid w:val="007251B5"/>
    <w:rsid w:val="00730695"/>
    <w:rsid w:val="00747555"/>
    <w:rsid w:val="007538E3"/>
    <w:rsid w:val="007572CC"/>
    <w:rsid w:val="00771615"/>
    <w:rsid w:val="0077428D"/>
    <w:rsid w:val="007945DF"/>
    <w:rsid w:val="007A7174"/>
    <w:rsid w:val="007D0755"/>
    <w:rsid w:val="007D33E1"/>
    <w:rsid w:val="007E311D"/>
    <w:rsid w:val="007E3AE5"/>
    <w:rsid w:val="007E4E3C"/>
    <w:rsid w:val="007F176C"/>
    <w:rsid w:val="007F5A9E"/>
    <w:rsid w:val="008020E5"/>
    <w:rsid w:val="008344A6"/>
    <w:rsid w:val="00842D2C"/>
    <w:rsid w:val="00843C4E"/>
    <w:rsid w:val="008449AD"/>
    <w:rsid w:val="00847CED"/>
    <w:rsid w:val="0085151C"/>
    <w:rsid w:val="00852941"/>
    <w:rsid w:val="0085508C"/>
    <w:rsid w:val="00873B3B"/>
    <w:rsid w:val="0089592A"/>
    <w:rsid w:val="008A0028"/>
    <w:rsid w:val="008A174A"/>
    <w:rsid w:val="008A527A"/>
    <w:rsid w:val="008C166D"/>
    <w:rsid w:val="008D3569"/>
    <w:rsid w:val="008D3EDA"/>
    <w:rsid w:val="008E7F5F"/>
    <w:rsid w:val="008F1D59"/>
    <w:rsid w:val="008F4312"/>
    <w:rsid w:val="008F5C2C"/>
    <w:rsid w:val="008F791E"/>
    <w:rsid w:val="00901A61"/>
    <w:rsid w:val="00915142"/>
    <w:rsid w:val="0091669C"/>
    <w:rsid w:val="00924341"/>
    <w:rsid w:val="00930BF4"/>
    <w:rsid w:val="00933183"/>
    <w:rsid w:val="00943299"/>
    <w:rsid w:val="00950665"/>
    <w:rsid w:val="0095110E"/>
    <w:rsid w:val="00951574"/>
    <w:rsid w:val="00951AA2"/>
    <w:rsid w:val="0096213A"/>
    <w:rsid w:val="009627B7"/>
    <w:rsid w:val="00965AA6"/>
    <w:rsid w:val="00966C6F"/>
    <w:rsid w:val="00985DC5"/>
    <w:rsid w:val="00986B19"/>
    <w:rsid w:val="009A1174"/>
    <w:rsid w:val="009A4645"/>
    <w:rsid w:val="009B21FF"/>
    <w:rsid w:val="009B6662"/>
    <w:rsid w:val="009C0B6B"/>
    <w:rsid w:val="009C1DC0"/>
    <w:rsid w:val="009D1549"/>
    <w:rsid w:val="009D41B3"/>
    <w:rsid w:val="009E75C5"/>
    <w:rsid w:val="009E7B3A"/>
    <w:rsid w:val="009F1ABD"/>
    <w:rsid w:val="009F2A53"/>
    <w:rsid w:val="00A01CD4"/>
    <w:rsid w:val="00A03CAC"/>
    <w:rsid w:val="00A06320"/>
    <w:rsid w:val="00A06E3C"/>
    <w:rsid w:val="00A14172"/>
    <w:rsid w:val="00A4098B"/>
    <w:rsid w:val="00A503F0"/>
    <w:rsid w:val="00A56006"/>
    <w:rsid w:val="00A56943"/>
    <w:rsid w:val="00A5768C"/>
    <w:rsid w:val="00A66BCC"/>
    <w:rsid w:val="00A779D2"/>
    <w:rsid w:val="00A826EE"/>
    <w:rsid w:val="00A8338E"/>
    <w:rsid w:val="00A930C9"/>
    <w:rsid w:val="00AA4256"/>
    <w:rsid w:val="00AA43C4"/>
    <w:rsid w:val="00AA5C23"/>
    <w:rsid w:val="00AA6F8D"/>
    <w:rsid w:val="00AC1E62"/>
    <w:rsid w:val="00AD4D33"/>
    <w:rsid w:val="00AE5E27"/>
    <w:rsid w:val="00B00603"/>
    <w:rsid w:val="00B02518"/>
    <w:rsid w:val="00B029AA"/>
    <w:rsid w:val="00B1259B"/>
    <w:rsid w:val="00B2614A"/>
    <w:rsid w:val="00B3193D"/>
    <w:rsid w:val="00B34DD7"/>
    <w:rsid w:val="00B37779"/>
    <w:rsid w:val="00B51A80"/>
    <w:rsid w:val="00B528A9"/>
    <w:rsid w:val="00B54BA9"/>
    <w:rsid w:val="00B70B30"/>
    <w:rsid w:val="00B725D2"/>
    <w:rsid w:val="00B72F23"/>
    <w:rsid w:val="00B7536A"/>
    <w:rsid w:val="00B770C4"/>
    <w:rsid w:val="00B85B3E"/>
    <w:rsid w:val="00B8688D"/>
    <w:rsid w:val="00B86C8D"/>
    <w:rsid w:val="00B91488"/>
    <w:rsid w:val="00B928B2"/>
    <w:rsid w:val="00B97B94"/>
    <w:rsid w:val="00BA0194"/>
    <w:rsid w:val="00BA1B70"/>
    <w:rsid w:val="00BE5D72"/>
    <w:rsid w:val="00C0556A"/>
    <w:rsid w:val="00C06B25"/>
    <w:rsid w:val="00C06E14"/>
    <w:rsid w:val="00C117F6"/>
    <w:rsid w:val="00C1443F"/>
    <w:rsid w:val="00C2740E"/>
    <w:rsid w:val="00C32A45"/>
    <w:rsid w:val="00C540B2"/>
    <w:rsid w:val="00C767FA"/>
    <w:rsid w:val="00C84C20"/>
    <w:rsid w:val="00C90B6D"/>
    <w:rsid w:val="00CA26A8"/>
    <w:rsid w:val="00CC05A9"/>
    <w:rsid w:val="00CC401C"/>
    <w:rsid w:val="00CC5A6E"/>
    <w:rsid w:val="00CE321E"/>
    <w:rsid w:val="00CE72C2"/>
    <w:rsid w:val="00D03F62"/>
    <w:rsid w:val="00D04384"/>
    <w:rsid w:val="00D11D68"/>
    <w:rsid w:val="00D1628F"/>
    <w:rsid w:val="00D25845"/>
    <w:rsid w:val="00D31E96"/>
    <w:rsid w:val="00D34E85"/>
    <w:rsid w:val="00D41264"/>
    <w:rsid w:val="00D4316C"/>
    <w:rsid w:val="00D43478"/>
    <w:rsid w:val="00D4465B"/>
    <w:rsid w:val="00D44EEF"/>
    <w:rsid w:val="00D52C58"/>
    <w:rsid w:val="00D5522D"/>
    <w:rsid w:val="00D57F7E"/>
    <w:rsid w:val="00D67099"/>
    <w:rsid w:val="00D67C27"/>
    <w:rsid w:val="00D736E8"/>
    <w:rsid w:val="00D74680"/>
    <w:rsid w:val="00D91083"/>
    <w:rsid w:val="00D91D6C"/>
    <w:rsid w:val="00D972B5"/>
    <w:rsid w:val="00DA7513"/>
    <w:rsid w:val="00DB6C25"/>
    <w:rsid w:val="00DC526A"/>
    <w:rsid w:val="00DC68F7"/>
    <w:rsid w:val="00DC6A5A"/>
    <w:rsid w:val="00DD2837"/>
    <w:rsid w:val="00DD2841"/>
    <w:rsid w:val="00DE11DB"/>
    <w:rsid w:val="00DE3388"/>
    <w:rsid w:val="00DE5FAE"/>
    <w:rsid w:val="00DF3C7E"/>
    <w:rsid w:val="00E0241D"/>
    <w:rsid w:val="00E035AD"/>
    <w:rsid w:val="00E1241F"/>
    <w:rsid w:val="00E200D8"/>
    <w:rsid w:val="00E362C9"/>
    <w:rsid w:val="00E410BB"/>
    <w:rsid w:val="00E51EB2"/>
    <w:rsid w:val="00E75D52"/>
    <w:rsid w:val="00E8028E"/>
    <w:rsid w:val="00E81611"/>
    <w:rsid w:val="00E85EE1"/>
    <w:rsid w:val="00E939D7"/>
    <w:rsid w:val="00E94F33"/>
    <w:rsid w:val="00EA1F84"/>
    <w:rsid w:val="00EA4383"/>
    <w:rsid w:val="00EB64B3"/>
    <w:rsid w:val="00EB7E3D"/>
    <w:rsid w:val="00EC0326"/>
    <w:rsid w:val="00EC5465"/>
    <w:rsid w:val="00ED5099"/>
    <w:rsid w:val="00ED519C"/>
    <w:rsid w:val="00ED68B8"/>
    <w:rsid w:val="00ED6F6A"/>
    <w:rsid w:val="00EE1D32"/>
    <w:rsid w:val="00EF40CF"/>
    <w:rsid w:val="00EF6141"/>
    <w:rsid w:val="00F107D6"/>
    <w:rsid w:val="00F16095"/>
    <w:rsid w:val="00F20C0C"/>
    <w:rsid w:val="00F3189D"/>
    <w:rsid w:val="00F3241F"/>
    <w:rsid w:val="00F368BE"/>
    <w:rsid w:val="00F408E4"/>
    <w:rsid w:val="00F43771"/>
    <w:rsid w:val="00F4798B"/>
    <w:rsid w:val="00F52976"/>
    <w:rsid w:val="00F60465"/>
    <w:rsid w:val="00F64D38"/>
    <w:rsid w:val="00F65EBD"/>
    <w:rsid w:val="00F71B96"/>
    <w:rsid w:val="00F72CFE"/>
    <w:rsid w:val="00F73A13"/>
    <w:rsid w:val="00F8146A"/>
    <w:rsid w:val="00F83627"/>
    <w:rsid w:val="00F840AA"/>
    <w:rsid w:val="00F84649"/>
    <w:rsid w:val="00F86CB0"/>
    <w:rsid w:val="00F87359"/>
    <w:rsid w:val="00F961ED"/>
    <w:rsid w:val="00FA095D"/>
    <w:rsid w:val="00FA0AB5"/>
    <w:rsid w:val="00FA3814"/>
    <w:rsid w:val="00FB4BF2"/>
    <w:rsid w:val="00FD496D"/>
    <w:rsid w:val="00FE79B5"/>
    <w:rsid w:val="00FF13D4"/>
    <w:rsid w:val="00FF3D5E"/>
    <w:rsid w:val="00FF51CB"/>
    <w:rsid w:val="33E2FEA9"/>
    <w:rsid w:val="4BDF930D"/>
    <w:rsid w:val="6635768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34881"/>
  <w15:chartTrackingRefBased/>
  <w15:docId w15:val="{BE9300D6-30F8-8241-B476-612428B0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1067A"/>
    <w:pPr>
      <w:keepNext/>
      <w:keepLines/>
      <w:spacing w:before="240"/>
      <w:outlineLvl w:val="0"/>
    </w:pPr>
    <w:rPr>
      <w:rFonts w:ascii="Century Gothic" w:eastAsiaTheme="majorEastAsia" w:hAnsi="Century Gothic" w:cstheme="majorBidi"/>
      <w:color w:val="2F5496" w:themeColor="accent1" w:themeShade="BF"/>
      <w:sz w:val="36"/>
      <w:szCs w:val="32"/>
    </w:rPr>
  </w:style>
  <w:style w:type="paragraph" w:styleId="Ttulo2">
    <w:name w:val="heading 2"/>
    <w:basedOn w:val="Normal"/>
    <w:next w:val="Normal"/>
    <w:link w:val="Ttulo2Car"/>
    <w:uiPriority w:val="9"/>
    <w:unhideWhenUsed/>
    <w:qFormat/>
    <w:rsid w:val="0071067A"/>
    <w:pPr>
      <w:keepNext/>
      <w:keepLines/>
      <w:spacing w:before="40"/>
      <w:outlineLvl w:val="1"/>
    </w:pPr>
    <w:rPr>
      <w:rFonts w:ascii="Century Gothic" w:eastAsiaTheme="majorEastAsia" w:hAnsi="Century Gothic" w:cstheme="majorBidi"/>
      <w:color w:val="2F5496" w:themeColor="accent1" w:themeShade="BF"/>
      <w:sz w:val="32"/>
      <w:szCs w:val="26"/>
    </w:rPr>
  </w:style>
  <w:style w:type="paragraph" w:styleId="Ttulo3">
    <w:name w:val="heading 3"/>
    <w:basedOn w:val="Normal"/>
    <w:next w:val="Normal"/>
    <w:link w:val="Ttulo3Car"/>
    <w:uiPriority w:val="9"/>
    <w:unhideWhenUsed/>
    <w:qFormat/>
    <w:rsid w:val="0071067A"/>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7032"/>
    <w:pPr>
      <w:tabs>
        <w:tab w:val="center" w:pos="4680"/>
        <w:tab w:val="right" w:pos="9360"/>
      </w:tabs>
    </w:pPr>
  </w:style>
  <w:style w:type="character" w:customStyle="1" w:styleId="EncabezadoCar">
    <w:name w:val="Encabezado Car"/>
    <w:basedOn w:val="Fuentedeprrafopredeter"/>
    <w:link w:val="Encabezado"/>
    <w:uiPriority w:val="99"/>
    <w:rsid w:val="00167032"/>
  </w:style>
  <w:style w:type="paragraph" w:styleId="Piedepgina">
    <w:name w:val="footer"/>
    <w:basedOn w:val="Normal"/>
    <w:link w:val="PiedepginaCar"/>
    <w:uiPriority w:val="99"/>
    <w:unhideWhenUsed/>
    <w:rsid w:val="00167032"/>
    <w:pPr>
      <w:tabs>
        <w:tab w:val="center" w:pos="4680"/>
        <w:tab w:val="right" w:pos="9360"/>
      </w:tabs>
    </w:pPr>
  </w:style>
  <w:style w:type="character" w:customStyle="1" w:styleId="PiedepginaCar">
    <w:name w:val="Pie de página Car"/>
    <w:basedOn w:val="Fuentedeprrafopredeter"/>
    <w:link w:val="Piedepgina"/>
    <w:uiPriority w:val="99"/>
    <w:rsid w:val="00167032"/>
  </w:style>
  <w:style w:type="character" w:styleId="Nmerodepgina">
    <w:name w:val="page number"/>
    <w:basedOn w:val="Fuentedeprrafopredeter"/>
    <w:uiPriority w:val="99"/>
    <w:semiHidden/>
    <w:unhideWhenUsed/>
    <w:rsid w:val="00167032"/>
  </w:style>
  <w:style w:type="character" w:customStyle="1" w:styleId="Ttulo1Car">
    <w:name w:val="Título 1 Car"/>
    <w:basedOn w:val="Fuentedeprrafopredeter"/>
    <w:link w:val="Ttulo1"/>
    <w:uiPriority w:val="9"/>
    <w:rsid w:val="0071067A"/>
    <w:rPr>
      <w:rFonts w:ascii="Century Gothic" w:eastAsiaTheme="majorEastAsia" w:hAnsi="Century Gothic" w:cstheme="majorBidi"/>
      <w:color w:val="2F5496" w:themeColor="accent1" w:themeShade="BF"/>
      <w:sz w:val="36"/>
      <w:szCs w:val="32"/>
    </w:rPr>
  </w:style>
  <w:style w:type="character" w:customStyle="1" w:styleId="Ttulo2Car">
    <w:name w:val="Título 2 Car"/>
    <w:basedOn w:val="Fuentedeprrafopredeter"/>
    <w:link w:val="Ttulo2"/>
    <w:uiPriority w:val="9"/>
    <w:rsid w:val="0071067A"/>
    <w:rPr>
      <w:rFonts w:ascii="Century Gothic" w:eastAsiaTheme="majorEastAsia" w:hAnsi="Century Gothic" w:cstheme="majorBidi"/>
      <w:color w:val="2F5496" w:themeColor="accent1" w:themeShade="BF"/>
      <w:sz w:val="32"/>
      <w:szCs w:val="26"/>
    </w:rPr>
  </w:style>
  <w:style w:type="character" w:customStyle="1" w:styleId="Ttulo3Car">
    <w:name w:val="Título 3 Car"/>
    <w:basedOn w:val="Fuentedeprrafopredeter"/>
    <w:link w:val="Ttulo3"/>
    <w:uiPriority w:val="9"/>
    <w:rsid w:val="0071067A"/>
    <w:rPr>
      <w:rFonts w:asciiTheme="majorHAnsi" w:eastAsiaTheme="majorEastAsia" w:hAnsiTheme="majorHAnsi" w:cstheme="majorBidi"/>
      <w:color w:val="1F3763" w:themeColor="accent1" w:themeShade="7F"/>
    </w:rPr>
  </w:style>
  <w:style w:type="paragraph" w:styleId="Sinespaciado">
    <w:name w:val="No Spacing"/>
    <w:link w:val="SinespaciadoCar"/>
    <w:uiPriority w:val="1"/>
    <w:qFormat/>
    <w:rsid w:val="0071067A"/>
    <w:pPr>
      <w:spacing w:line="276" w:lineRule="auto"/>
      <w:jc w:val="both"/>
    </w:pPr>
    <w:rPr>
      <w:rFonts w:ascii="Century Gothic" w:hAnsi="Century Gothic" w:cs="Times New Roman"/>
      <w:sz w:val="22"/>
    </w:rPr>
  </w:style>
  <w:style w:type="character" w:customStyle="1" w:styleId="SinespaciadoCar">
    <w:name w:val="Sin espaciado Car"/>
    <w:basedOn w:val="Fuentedeprrafopredeter"/>
    <w:link w:val="Sinespaciado"/>
    <w:uiPriority w:val="1"/>
    <w:rsid w:val="0071067A"/>
    <w:rPr>
      <w:rFonts w:ascii="Century Gothic" w:hAnsi="Century Gothic" w:cs="Times New Roman"/>
      <w:sz w:val="22"/>
    </w:rPr>
  </w:style>
  <w:style w:type="paragraph" w:styleId="Prrafodelista">
    <w:name w:val="List Paragraph"/>
    <w:aliases w:val="Informe,Bullet 1,Use Case List Paragraph,Con viñetas,Normal con viñetas,3,titulo 3,figuras y gráficos,Viñetas,Bulletr List Paragraph"/>
    <w:basedOn w:val="Normal"/>
    <w:link w:val="PrrafodelistaCar"/>
    <w:uiPriority w:val="34"/>
    <w:qFormat/>
    <w:rsid w:val="0071067A"/>
    <w:pPr>
      <w:ind w:left="720"/>
      <w:contextualSpacing/>
    </w:pPr>
  </w:style>
  <w:style w:type="character" w:customStyle="1" w:styleId="PrrafodelistaCar">
    <w:name w:val="Párrafo de lista Car"/>
    <w:aliases w:val="Informe Car,Bullet 1 Car,Use Case List Paragraph Car,Con viñetas Car,Normal con viñetas Car,3 Car,titulo 3 Car,figuras y gráficos Car,Viñetas Car,Bulletr List Paragraph Car"/>
    <w:basedOn w:val="Fuentedeprrafopredeter"/>
    <w:link w:val="Prrafodelista"/>
    <w:uiPriority w:val="34"/>
    <w:locked/>
    <w:rsid w:val="0071067A"/>
  </w:style>
  <w:style w:type="paragraph" w:customStyle="1" w:styleId="paragraph">
    <w:name w:val="paragraph"/>
    <w:basedOn w:val="Normal"/>
    <w:rsid w:val="0071067A"/>
    <w:pPr>
      <w:spacing w:before="100" w:beforeAutospacing="1" w:after="100" w:afterAutospacing="1"/>
    </w:pPr>
    <w:rPr>
      <w:rFonts w:ascii="Times New Roman" w:eastAsia="Times New Roman" w:hAnsi="Times New Roman" w:cs="Times New Roman"/>
      <w:lang w:eastAsia="es-CR"/>
    </w:rPr>
  </w:style>
  <w:style w:type="character" w:customStyle="1" w:styleId="normaltextrun">
    <w:name w:val="normaltextrun"/>
    <w:basedOn w:val="Fuentedeprrafopredeter"/>
    <w:rsid w:val="0071067A"/>
  </w:style>
  <w:style w:type="character" w:customStyle="1" w:styleId="eop">
    <w:name w:val="eop"/>
    <w:basedOn w:val="Fuentedeprrafopredeter"/>
    <w:rsid w:val="0071067A"/>
  </w:style>
  <w:style w:type="table" w:styleId="Tablaconcuadrculaclara">
    <w:name w:val="Grid Table Light"/>
    <w:basedOn w:val="Tablanormal"/>
    <w:uiPriority w:val="40"/>
    <w:rsid w:val="002578E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6247A6"/>
    <w:pPr>
      <w:spacing w:line="259" w:lineRule="auto"/>
      <w:outlineLvl w:val="9"/>
    </w:pPr>
    <w:rPr>
      <w:rFonts w:asciiTheme="majorHAnsi" w:hAnsiTheme="majorHAnsi"/>
      <w:sz w:val="32"/>
      <w:lang w:eastAsia="es-CR"/>
    </w:rPr>
  </w:style>
  <w:style w:type="paragraph" w:styleId="TDC1">
    <w:name w:val="toc 1"/>
    <w:basedOn w:val="Normal"/>
    <w:next w:val="Normal"/>
    <w:autoRedefine/>
    <w:uiPriority w:val="39"/>
    <w:unhideWhenUsed/>
    <w:rsid w:val="006247A6"/>
    <w:pPr>
      <w:tabs>
        <w:tab w:val="right" w:leader="dot" w:pos="8828"/>
      </w:tabs>
      <w:spacing w:after="100"/>
    </w:pPr>
    <w:rPr>
      <w:rFonts w:ascii="Century Gothic" w:hAnsi="Century Gothic"/>
      <w:b/>
      <w:bCs/>
      <w:noProof/>
    </w:rPr>
  </w:style>
  <w:style w:type="paragraph" w:styleId="TDC2">
    <w:name w:val="toc 2"/>
    <w:basedOn w:val="Normal"/>
    <w:next w:val="Normal"/>
    <w:autoRedefine/>
    <w:uiPriority w:val="39"/>
    <w:unhideWhenUsed/>
    <w:rsid w:val="006247A6"/>
    <w:pPr>
      <w:spacing w:after="100"/>
      <w:ind w:left="240"/>
    </w:pPr>
  </w:style>
  <w:style w:type="character" w:styleId="Hipervnculo">
    <w:name w:val="Hyperlink"/>
    <w:basedOn w:val="Fuentedeprrafopredeter"/>
    <w:uiPriority w:val="99"/>
    <w:unhideWhenUsed/>
    <w:rsid w:val="006247A6"/>
    <w:rPr>
      <w:color w:val="0563C1" w:themeColor="hyperlink"/>
      <w:u w:val="single"/>
    </w:rPr>
  </w:style>
  <w:style w:type="table" w:styleId="Tablaconcuadrcula">
    <w:name w:val="Table Grid"/>
    <w:basedOn w:val="Tablanormal"/>
    <w:uiPriority w:val="39"/>
    <w:rsid w:val="00A14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86864">
      <w:bodyDiv w:val="1"/>
      <w:marLeft w:val="0"/>
      <w:marRight w:val="0"/>
      <w:marTop w:val="0"/>
      <w:marBottom w:val="0"/>
      <w:divBdr>
        <w:top w:val="none" w:sz="0" w:space="0" w:color="auto"/>
        <w:left w:val="none" w:sz="0" w:space="0" w:color="auto"/>
        <w:bottom w:val="none" w:sz="0" w:space="0" w:color="auto"/>
        <w:right w:val="none" w:sz="0" w:space="0" w:color="auto"/>
      </w:divBdr>
    </w:div>
    <w:div w:id="429929446">
      <w:bodyDiv w:val="1"/>
      <w:marLeft w:val="0"/>
      <w:marRight w:val="0"/>
      <w:marTop w:val="0"/>
      <w:marBottom w:val="0"/>
      <w:divBdr>
        <w:top w:val="none" w:sz="0" w:space="0" w:color="auto"/>
        <w:left w:val="none" w:sz="0" w:space="0" w:color="auto"/>
        <w:bottom w:val="none" w:sz="0" w:space="0" w:color="auto"/>
        <w:right w:val="none" w:sz="0" w:space="0" w:color="auto"/>
      </w:divBdr>
    </w:div>
    <w:div w:id="554198777">
      <w:bodyDiv w:val="1"/>
      <w:marLeft w:val="0"/>
      <w:marRight w:val="0"/>
      <w:marTop w:val="0"/>
      <w:marBottom w:val="0"/>
      <w:divBdr>
        <w:top w:val="none" w:sz="0" w:space="0" w:color="auto"/>
        <w:left w:val="none" w:sz="0" w:space="0" w:color="auto"/>
        <w:bottom w:val="none" w:sz="0" w:space="0" w:color="auto"/>
        <w:right w:val="none" w:sz="0" w:space="0" w:color="auto"/>
      </w:divBdr>
    </w:div>
    <w:div w:id="681325629">
      <w:bodyDiv w:val="1"/>
      <w:marLeft w:val="0"/>
      <w:marRight w:val="0"/>
      <w:marTop w:val="0"/>
      <w:marBottom w:val="0"/>
      <w:divBdr>
        <w:top w:val="none" w:sz="0" w:space="0" w:color="auto"/>
        <w:left w:val="none" w:sz="0" w:space="0" w:color="auto"/>
        <w:bottom w:val="none" w:sz="0" w:space="0" w:color="auto"/>
        <w:right w:val="none" w:sz="0" w:space="0" w:color="auto"/>
      </w:divBdr>
    </w:div>
    <w:div w:id="819230559">
      <w:bodyDiv w:val="1"/>
      <w:marLeft w:val="0"/>
      <w:marRight w:val="0"/>
      <w:marTop w:val="0"/>
      <w:marBottom w:val="0"/>
      <w:divBdr>
        <w:top w:val="none" w:sz="0" w:space="0" w:color="auto"/>
        <w:left w:val="none" w:sz="0" w:space="0" w:color="auto"/>
        <w:bottom w:val="none" w:sz="0" w:space="0" w:color="auto"/>
        <w:right w:val="none" w:sz="0" w:space="0" w:color="auto"/>
      </w:divBdr>
    </w:div>
    <w:div w:id="1478952643">
      <w:bodyDiv w:val="1"/>
      <w:marLeft w:val="0"/>
      <w:marRight w:val="0"/>
      <w:marTop w:val="0"/>
      <w:marBottom w:val="0"/>
      <w:divBdr>
        <w:top w:val="none" w:sz="0" w:space="0" w:color="auto"/>
        <w:left w:val="none" w:sz="0" w:space="0" w:color="auto"/>
        <w:bottom w:val="none" w:sz="0" w:space="0" w:color="auto"/>
        <w:right w:val="none" w:sz="0" w:space="0" w:color="auto"/>
      </w:divBdr>
    </w:div>
    <w:div w:id="154016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7E755-A97E-964E-9C9D-DB039715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1691</Words>
  <Characters>9306</Characters>
  <Application>Microsoft Office Word</Application>
  <DocSecurity>4</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Alonso Rodriguez Gutiérrez</dc:creator>
  <cp:keywords/>
  <dc:description/>
  <cp:lastModifiedBy>Erick Vega Salas</cp:lastModifiedBy>
  <cp:revision>2</cp:revision>
  <dcterms:created xsi:type="dcterms:W3CDTF">2024-06-06T15:00:00Z</dcterms:created>
  <dcterms:modified xsi:type="dcterms:W3CDTF">2024-06-06T15:00:00Z</dcterms:modified>
</cp:coreProperties>
</file>